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B049" w14:textId="702ED269" w:rsidR="008937B2" w:rsidRPr="005E18D6" w:rsidRDefault="005E18D6" w:rsidP="008937B2">
      <w:pPr>
        <w:rPr>
          <w:sz w:val="48"/>
          <w:szCs w:val="48"/>
        </w:rPr>
      </w:pPr>
      <w:r w:rsidRPr="005E18D6">
        <w:rPr>
          <w:sz w:val="48"/>
          <w:szCs w:val="48"/>
        </w:rPr>
        <w:t xml:space="preserve">Mid Diversity Moist Buffer NE </w:t>
      </w:r>
      <w:r w:rsidRPr="005E18D6">
        <w:rPr>
          <w:rFonts w:asciiTheme="minorHAnsi" w:eastAsia="Times New Roman" w:hAnsiTheme="minorHAnsi" w:cstheme="minorHAnsi"/>
          <w:color w:val="000000"/>
          <w:sz w:val="48"/>
          <w:szCs w:val="48"/>
        </w:rPr>
        <w:t>32-351</w:t>
      </w:r>
    </w:p>
    <w:p w14:paraId="36564C88" w14:textId="77777777" w:rsidR="005E18D6" w:rsidRDefault="005E18D6" w:rsidP="008937B2"/>
    <w:p w14:paraId="28F4D902" w14:textId="4F5CCDF7" w:rsidR="008937B2" w:rsidRDefault="008937B2" w:rsidP="008937B2">
      <w:r>
        <w:t>Updated: 2023</w:t>
      </w:r>
    </w:p>
    <w:p w14:paraId="5435D833" w14:textId="0A0EFB6C" w:rsidR="008937B2" w:rsidRDefault="008937B2" w:rsidP="008937B2">
      <w:r>
        <w:rPr>
          <w:rStyle w:val="normaltextrun"/>
        </w:rPr>
        <w:t xml:space="preserve">This </w:t>
      </w:r>
      <w:r w:rsidR="00C92962">
        <w:rPr>
          <w:rStyle w:val="normaltextrun"/>
        </w:rPr>
        <w:t xml:space="preserve">riparian buffer </w:t>
      </w:r>
      <w:r>
        <w:rPr>
          <w:rStyle w:val="normaltextrun"/>
        </w:rPr>
        <w:t>mix has been designed for</w:t>
      </w:r>
      <w:r w:rsidR="00DC2B82">
        <w:rPr>
          <w:rStyle w:val="normaltextrun"/>
        </w:rPr>
        <w:t xml:space="preserve"> Northeast Minnesota in</w:t>
      </w:r>
      <w:r>
        <w:rPr>
          <w:rStyle w:val="normaltextrun"/>
        </w:rPr>
        <w:t xml:space="preserve"> a</w:t>
      </w:r>
      <w:r>
        <w:t xml:space="preserve">reas with mesic soils and full sun for at least 70% of the day </w:t>
      </w:r>
      <w:r w:rsidR="00C92962">
        <w:t>and there are goals for p</w:t>
      </w:r>
      <w:r>
        <w:rPr>
          <w:rStyle w:val="normaltextrun"/>
        </w:rPr>
        <w:t>roviding w</w:t>
      </w:r>
      <w:r>
        <w:t>ildlife habitat</w:t>
      </w:r>
      <w:r w:rsidR="00C92962">
        <w:t xml:space="preserve">, </w:t>
      </w:r>
      <w:r>
        <w:t xml:space="preserve">soil stabilization, </w:t>
      </w:r>
      <w:r w:rsidR="00C92962">
        <w:t xml:space="preserve">and </w:t>
      </w:r>
      <w:r>
        <w:t>water quality benefits.</w:t>
      </w:r>
    </w:p>
    <w:p w14:paraId="30B3F864" w14:textId="77777777" w:rsidR="008937B2" w:rsidRDefault="008937B2" w:rsidP="008937B2">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32B0F0EA" wp14:editId="49171168">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14:paraId="0B97F7B9" w14:textId="77777777" w:rsidR="008937B2" w:rsidRDefault="008937B2" w:rsidP="008937B2">
                            <w:r>
                              <w:rPr>
                                <w:noProof/>
                              </w:rPr>
                              <w:drawing>
                                <wp:inline distT="0" distB="0" distL="0" distR="0" wp14:anchorId="0E75EBA5" wp14:editId="77756853">
                                  <wp:extent cx="1123950" cy="514350"/>
                                  <wp:effectExtent l="0" t="0" r="0" b="0"/>
                                  <wp:docPr id="9" name="Picture 9" descr="Xerces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Xerces Society"/>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0F0EA" id="_x0000_t202" coordsize="21600,21600" o:spt="202" path="m,l,21600r21600,l21600,xe">
                <v:stroke joinstyle="miter"/>
                <v:path gradientshapeok="t" o:connecttype="rect"/>
              </v:shapetype>
              <v:shape id="Text Box 2" o:spid="_x0000_s1026" type="#_x0000_t20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stroked="f">
                <v:textbox>
                  <w:txbxContent>
                    <w:p w14:paraId="0B97F7B9" w14:textId="77777777" w:rsidR="008937B2" w:rsidRDefault="008937B2" w:rsidP="008937B2">
                      <w:r>
                        <w:rPr>
                          <w:noProof/>
                        </w:rPr>
                        <w:drawing>
                          <wp:inline distT="0" distB="0" distL="0" distR="0" wp14:anchorId="0E75EBA5" wp14:editId="77756853">
                            <wp:extent cx="1123950" cy="514350"/>
                            <wp:effectExtent l="0" t="0" r="0" b="0"/>
                            <wp:docPr id="9" name="Picture 9" descr="Xerces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Xerces Society"/>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14:paraId="034CE255" w14:textId="77777777" w:rsidR="008937B2" w:rsidRDefault="008937B2" w:rsidP="008937B2">
      <w:pPr>
        <w:rPr>
          <w:noProof/>
        </w:rPr>
      </w:pPr>
      <w:r>
        <w:rPr>
          <w:noProof/>
        </w:rPr>
        <w:t xml:space="preserve">    </w:t>
      </w:r>
    </w:p>
    <w:p w14:paraId="37938DBA" w14:textId="310C6D47" w:rsidR="008937B2" w:rsidRDefault="008937B2" w:rsidP="008937B2">
      <w:pPr>
        <w:ind w:right="-540"/>
      </w:pPr>
      <w:r>
        <w:rPr>
          <w:noProof/>
        </w:rPr>
        <mc:AlternateContent>
          <mc:Choice Requires="wps">
            <w:drawing>
              <wp:anchor distT="45720" distB="45720" distL="114300" distR="114300" simplePos="0" relativeHeight="251661312" behindDoc="0" locked="0" layoutInCell="1" allowOverlap="1" wp14:anchorId="150398CD" wp14:editId="4609B807">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14:paraId="45006AA5" w14:textId="77777777" w:rsidR="008937B2" w:rsidRDefault="008937B2" w:rsidP="008937B2">
                            <w:r>
                              <w:rPr>
                                <w:noProof/>
                              </w:rPr>
                              <w:drawing>
                                <wp:inline distT="0" distB="0" distL="0" distR="0" wp14:anchorId="1DD3A459" wp14:editId="26CCB165">
                                  <wp:extent cx="2162810" cy="380580"/>
                                  <wp:effectExtent l="0" t="0" r="0" b="635"/>
                                  <wp:docPr id="7" name="Picture 7" descr="MN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DNR logo"/>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50398CD" id="_x0000_s1027" type="#_x0000_t202"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stroked="f">
                <v:textbox>
                  <w:txbxContent>
                    <w:p w14:paraId="45006AA5" w14:textId="77777777" w:rsidR="008937B2" w:rsidRDefault="008937B2" w:rsidP="008937B2">
                      <w:r>
                        <w:rPr>
                          <w:noProof/>
                        </w:rPr>
                        <w:drawing>
                          <wp:inline distT="0" distB="0" distL="0" distR="0" wp14:anchorId="1DD3A459" wp14:editId="26CCB165">
                            <wp:extent cx="2162810" cy="380580"/>
                            <wp:effectExtent l="0" t="0" r="0" b="635"/>
                            <wp:docPr id="7" name="Picture 7" descr="MN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DNR logo"/>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7DE5D049" wp14:editId="7474885D">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14:paraId="594AD374" w14:textId="77777777" w:rsidR="008937B2" w:rsidRDefault="008937B2" w:rsidP="008937B2">
                            <w:r>
                              <w:rPr>
                                <w:noProof/>
                              </w:rPr>
                              <w:drawing>
                                <wp:inline distT="0" distB="0" distL="0" distR="0" wp14:anchorId="3C591C1C" wp14:editId="65CB7A0F">
                                  <wp:extent cx="1933575" cy="352425"/>
                                  <wp:effectExtent l="0" t="0" r="9525" b="9525"/>
                                  <wp:docPr id="8" name="Picture 8"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 BWSR logo"/>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5D049" id="_x0000_s1028" type="#_x0000_t202"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stroked="f">
                <v:textbox>
                  <w:txbxContent>
                    <w:p w14:paraId="594AD374" w14:textId="77777777" w:rsidR="008937B2" w:rsidRDefault="008937B2" w:rsidP="008937B2">
                      <w:r>
                        <w:rPr>
                          <w:noProof/>
                        </w:rPr>
                        <w:drawing>
                          <wp:inline distT="0" distB="0" distL="0" distR="0" wp14:anchorId="3C591C1C" wp14:editId="65CB7A0F">
                            <wp:extent cx="1933575" cy="352425"/>
                            <wp:effectExtent l="0" t="0" r="9525" b="9525"/>
                            <wp:docPr id="8" name="Picture 8"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 BWSR logo"/>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t>Partners also include collaboration among Non-profits, Seed vendors, SWCD, Tribal Governments, Consultants, County and Cities. (</w:t>
      </w:r>
      <w:r w:rsidR="00023E23">
        <w:t>See</w:t>
      </w:r>
      <w:r>
        <w:t xml:space="preserve"> </w:t>
      </w:r>
      <w:r w:rsidR="00023E23">
        <w:t>partner</w:t>
      </w:r>
      <w:r>
        <w:t xml:space="preserve"> list on </w:t>
      </w:r>
      <w:hyperlink r:id="rId10" w:history="1">
        <w:r>
          <w:rPr>
            <w:rStyle w:val="Hyperlink"/>
          </w:rPr>
          <w:t>website</w:t>
        </w:r>
      </w:hyperlink>
      <w:r>
        <w:t>)</w:t>
      </w:r>
    </w:p>
    <w:p w14:paraId="75D3CB6B" w14:textId="77777777" w:rsidR="00C03D6A" w:rsidRDefault="00C03D6A" w:rsidP="008937B2">
      <w:pPr>
        <w:ind w:right="-540"/>
      </w:pPr>
    </w:p>
    <w:tbl>
      <w:tblPr>
        <w:tblW w:w="10005" w:type="dxa"/>
        <w:tblLayout w:type="fixed"/>
        <w:tblLook w:val="04A0" w:firstRow="1" w:lastRow="0" w:firstColumn="1" w:lastColumn="0" w:noHBand="0" w:noVBand="1"/>
      </w:tblPr>
      <w:tblGrid>
        <w:gridCol w:w="939"/>
        <w:gridCol w:w="2336"/>
        <w:gridCol w:w="2795"/>
        <w:gridCol w:w="717"/>
        <w:gridCol w:w="1006"/>
        <w:gridCol w:w="1106"/>
        <w:gridCol w:w="1106"/>
      </w:tblGrid>
      <w:tr w:rsidR="00C03D6A" w:rsidRPr="00C03D6A" w14:paraId="6663B919" w14:textId="77777777" w:rsidTr="00E821C2">
        <w:trPr>
          <w:trHeight w:val="255"/>
        </w:trPr>
        <w:tc>
          <w:tcPr>
            <w:tcW w:w="939" w:type="dxa"/>
            <w:tcBorders>
              <w:top w:val="nil"/>
              <w:left w:val="nil"/>
              <w:bottom w:val="nil"/>
              <w:right w:val="nil"/>
            </w:tcBorders>
            <w:shd w:val="clear" w:color="auto" w:fill="auto"/>
            <w:noWrap/>
            <w:vAlign w:val="bottom"/>
            <w:hideMark/>
          </w:tcPr>
          <w:p w14:paraId="58EF0799" w14:textId="77777777" w:rsidR="00C03D6A" w:rsidRPr="00C03D6A" w:rsidRDefault="00C03D6A" w:rsidP="00C03D6A">
            <w:pPr>
              <w:rPr>
                <w:rFonts w:ascii="Times New Roman" w:eastAsia="Times New Roman" w:hAnsi="Times New Roman" w:cs="Times New Roman"/>
                <w:sz w:val="24"/>
                <w:szCs w:val="24"/>
              </w:rPr>
            </w:pPr>
            <w:bookmarkStart w:id="0" w:name="RANGE!A1"/>
            <w:bookmarkEnd w:id="0"/>
          </w:p>
        </w:tc>
        <w:tc>
          <w:tcPr>
            <w:tcW w:w="2336" w:type="dxa"/>
            <w:tcBorders>
              <w:top w:val="nil"/>
              <w:left w:val="nil"/>
              <w:bottom w:val="nil"/>
              <w:right w:val="nil"/>
            </w:tcBorders>
            <w:shd w:val="clear" w:color="auto" w:fill="auto"/>
            <w:noWrap/>
            <w:vAlign w:val="bottom"/>
            <w:hideMark/>
          </w:tcPr>
          <w:p w14:paraId="65037051" w14:textId="77777777" w:rsidR="00C03D6A" w:rsidRPr="00C03D6A" w:rsidRDefault="00C03D6A" w:rsidP="00C03D6A">
            <w:pPr>
              <w:rPr>
                <w:rFonts w:ascii="Arial" w:eastAsia="Times New Roman" w:hAnsi="Arial" w:cs="Arial"/>
                <w:b/>
                <w:bCs/>
                <w:color w:val="000000"/>
                <w:sz w:val="20"/>
                <w:szCs w:val="20"/>
              </w:rPr>
            </w:pPr>
            <w:bookmarkStart w:id="1" w:name="RANGE!B1:G31"/>
            <w:r w:rsidRPr="00C03D6A">
              <w:rPr>
                <w:rFonts w:ascii="Arial" w:eastAsia="Times New Roman" w:hAnsi="Arial" w:cs="Arial"/>
                <w:b/>
                <w:bCs/>
                <w:color w:val="000000"/>
                <w:sz w:val="20"/>
                <w:szCs w:val="20"/>
              </w:rPr>
              <w:t>32-351</w:t>
            </w:r>
            <w:bookmarkEnd w:id="1"/>
          </w:p>
        </w:tc>
        <w:tc>
          <w:tcPr>
            <w:tcW w:w="4518" w:type="dxa"/>
            <w:gridSpan w:val="3"/>
            <w:tcBorders>
              <w:top w:val="nil"/>
              <w:left w:val="nil"/>
              <w:bottom w:val="nil"/>
              <w:right w:val="nil"/>
            </w:tcBorders>
            <w:shd w:val="clear" w:color="auto" w:fill="auto"/>
            <w:noWrap/>
            <w:vAlign w:val="bottom"/>
            <w:hideMark/>
          </w:tcPr>
          <w:p w14:paraId="4FF8B74E"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Mid Diversity Moist Buffer Northeast Mix</w:t>
            </w:r>
          </w:p>
        </w:tc>
        <w:tc>
          <w:tcPr>
            <w:tcW w:w="1106" w:type="dxa"/>
            <w:tcBorders>
              <w:top w:val="nil"/>
              <w:left w:val="nil"/>
              <w:bottom w:val="nil"/>
              <w:right w:val="nil"/>
            </w:tcBorders>
            <w:shd w:val="clear" w:color="auto" w:fill="auto"/>
            <w:noWrap/>
            <w:vAlign w:val="bottom"/>
            <w:hideMark/>
          </w:tcPr>
          <w:p w14:paraId="139D0A0C" w14:textId="77777777" w:rsidR="00C03D6A" w:rsidRPr="00C03D6A" w:rsidRDefault="00C03D6A" w:rsidP="00C03D6A">
            <w:pPr>
              <w:rPr>
                <w:rFonts w:ascii="Arial" w:eastAsia="Times New Roman" w:hAnsi="Arial" w:cs="Arial"/>
                <w:b/>
                <w:bCs/>
                <w:color w:val="000000"/>
                <w:sz w:val="20"/>
                <w:szCs w:val="20"/>
              </w:rPr>
            </w:pPr>
          </w:p>
        </w:tc>
        <w:tc>
          <w:tcPr>
            <w:tcW w:w="1106" w:type="dxa"/>
            <w:tcBorders>
              <w:top w:val="nil"/>
              <w:left w:val="nil"/>
              <w:bottom w:val="nil"/>
              <w:right w:val="nil"/>
            </w:tcBorders>
            <w:shd w:val="clear" w:color="auto" w:fill="auto"/>
            <w:noWrap/>
            <w:vAlign w:val="bottom"/>
            <w:hideMark/>
          </w:tcPr>
          <w:p w14:paraId="0A97389E" w14:textId="77777777" w:rsidR="00C03D6A" w:rsidRPr="00C03D6A" w:rsidRDefault="00C03D6A" w:rsidP="00C03D6A">
            <w:pPr>
              <w:jc w:val="center"/>
              <w:rPr>
                <w:rFonts w:ascii="Times New Roman" w:eastAsia="Times New Roman" w:hAnsi="Times New Roman" w:cs="Times New Roman"/>
                <w:sz w:val="20"/>
                <w:szCs w:val="20"/>
              </w:rPr>
            </w:pPr>
          </w:p>
        </w:tc>
      </w:tr>
      <w:tr w:rsidR="00C03D6A" w:rsidRPr="00C03D6A" w14:paraId="08E365D9" w14:textId="77777777" w:rsidTr="00E821C2">
        <w:trPr>
          <w:trHeight w:val="510"/>
        </w:trPr>
        <w:tc>
          <w:tcPr>
            <w:tcW w:w="939"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1AC0DAA9"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Code</w:t>
            </w:r>
          </w:p>
        </w:tc>
        <w:tc>
          <w:tcPr>
            <w:tcW w:w="2336" w:type="dxa"/>
            <w:tcBorders>
              <w:top w:val="single" w:sz="4" w:space="0" w:color="auto"/>
              <w:left w:val="nil"/>
              <w:bottom w:val="single" w:sz="4" w:space="0" w:color="auto"/>
              <w:right w:val="single" w:sz="4" w:space="0" w:color="auto"/>
            </w:tcBorders>
            <w:shd w:val="clear" w:color="000000" w:fill="9BC2E6"/>
            <w:vAlign w:val="bottom"/>
            <w:hideMark/>
          </w:tcPr>
          <w:p w14:paraId="7391526B" w14:textId="77777777" w:rsidR="00C03D6A" w:rsidRPr="00C03D6A" w:rsidRDefault="00C03D6A" w:rsidP="00C03D6A">
            <w:pPr>
              <w:jc w:val="center"/>
              <w:rPr>
                <w:rFonts w:ascii="Arial" w:eastAsia="Times New Roman" w:hAnsi="Arial" w:cs="Arial"/>
                <w:b/>
                <w:bCs/>
                <w:sz w:val="20"/>
                <w:szCs w:val="20"/>
              </w:rPr>
            </w:pPr>
            <w:r w:rsidRPr="00C03D6A">
              <w:rPr>
                <w:rFonts w:ascii="Arial" w:eastAsia="Times New Roman" w:hAnsi="Arial" w:cs="Arial"/>
                <w:b/>
                <w:bCs/>
                <w:sz w:val="20"/>
                <w:szCs w:val="20"/>
              </w:rPr>
              <w:t>Common Name</w:t>
            </w:r>
          </w:p>
        </w:tc>
        <w:tc>
          <w:tcPr>
            <w:tcW w:w="2795" w:type="dxa"/>
            <w:tcBorders>
              <w:top w:val="single" w:sz="4" w:space="0" w:color="auto"/>
              <w:left w:val="nil"/>
              <w:bottom w:val="single" w:sz="4" w:space="0" w:color="auto"/>
              <w:right w:val="single" w:sz="4" w:space="0" w:color="auto"/>
            </w:tcBorders>
            <w:shd w:val="clear" w:color="000000" w:fill="9BC2E6"/>
            <w:vAlign w:val="bottom"/>
            <w:hideMark/>
          </w:tcPr>
          <w:p w14:paraId="2913C896" w14:textId="77777777" w:rsidR="00C03D6A" w:rsidRPr="00C03D6A" w:rsidRDefault="00C03D6A" w:rsidP="00C03D6A">
            <w:pPr>
              <w:jc w:val="center"/>
              <w:rPr>
                <w:rFonts w:ascii="Arial" w:eastAsia="Times New Roman" w:hAnsi="Arial" w:cs="Arial"/>
                <w:b/>
                <w:bCs/>
                <w:sz w:val="20"/>
                <w:szCs w:val="20"/>
              </w:rPr>
            </w:pPr>
            <w:r w:rsidRPr="00C03D6A">
              <w:rPr>
                <w:rFonts w:ascii="Arial" w:eastAsia="Times New Roman" w:hAnsi="Arial" w:cs="Arial"/>
                <w:b/>
                <w:bCs/>
                <w:sz w:val="20"/>
                <w:szCs w:val="20"/>
              </w:rPr>
              <w:t>Scientific Name</w:t>
            </w:r>
          </w:p>
        </w:tc>
        <w:tc>
          <w:tcPr>
            <w:tcW w:w="717" w:type="dxa"/>
            <w:tcBorders>
              <w:top w:val="single" w:sz="4" w:space="0" w:color="auto"/>
              <w:left w:val="nil"/>
              <w:bottom w:val="single" w:sz="4" w:space="0" w:color="auto"/>
              <w:right w:val="single" w:sz="4" w:space="0" w:color="auto"/>
            </w:tcBorders>
            <w:shd w:val="clear" w:color="000000" w:fill="9BC2E6"/>
            <w:vAlign w:val="bottom"/>
            <w:hideMark/>
          </w:tcPr>
          <w:p w14:paraId="7702E3C0" w14:textId="77777777" w:rsidR="00C03D6A" w:rsidRPr="00C03D6A" w:rsidRDefault="00C03D6A" w:rsidP="00C03D6A">
            <w:pPr>
              <w:jc w:val="center"/>
              <w:rPr>
                <w:rFonts w:ascii="Arial" w:eastAsia="Times New Roman" w:hAnsi="Arial" w:cs="Arial"/>
                <w:b/>
                <w:bCs/>
                <w:sz w:val="20"/>
                <w:szCs w:val="20"/>
              </w:rPr>
            </w:pPr>
            <w:r w:rsidRPr="00C03D6A">
              <w:rPr>
                <w:rFonts w:ascii="Arial" w:eastAsia="Times New Roman" w:hAnsi="Arial" w:cs="Arial"/>
                <w:b/>
                <w:bCs/>
                <w:sz w:val="20"/>
                <w:szCs w:val="20"/>
              </w:rPr>
              <w:t xml:space="preserve">PLS </w:t>
            </w:r>
            <w:proofErr w:type="spellStart"/>
            <w:r w:rsidRPr="00C03D6A">
              <w:rPr>
                <w:rFonts w:ascii="Arial" w:eastAsia="Times New Roman" w:hAnsi="Arial" w:cs="Arial"/>
                <w:b/>
                <w:bCs/>
                <w:sz w:val="20"/>
                <w:szCs w:val="20"/>
              </w:rPr>
              <w:t>lb</w:t>
            </w:r>
            <w:proofErr w:type="spellEnd"/>
            <w:r w:rsidRPr="00C03D6A">
              <w:rPr>
                <w:rFonts w:ascii="Arial" w:eastAsia="Times New Roman" w:hAnsi="Arial" w:cs="Arial"/>
                <w:b/>
                <w:bCs/>
                <w:sz w:val="20"/>
                <w:szCs w:val="20"/>
              </w:rPr>
              <w:t>/ac</w:t>
            </w:r>
          </w:p>
        </w:tc>
        <w:tc>
          <w:tcPr>
            <w:tcW w:w="1006" w:type="dxa"/>
            <w:tcBorders>
              <w:top w:val="single" w:sz="4" w:space="0" w:color="auto"/>
              <w:left w:val="nil"/>
              <w:bottom w:val="single" w:sz="4" w:space="0" w:color="auto"/>
              <w:right w:val="single" w:sz="4" w:space="0" w:color="auto"/>
            </w:tcBorders>
            <w:shd w:val="clear" w:color="000000" w:fill="9BC2E6"/>
            <w:vAlign w:val="bottom"/>
            <w:hideMark/>
          </w:tcPr>
          <w:p w14:paraId="44E844F8" w14:textId="77777777" w:rsidR="00C03D6A" w:rsidRPr="00C03D6A" w:rsidRDefault="00C03D6A" w:rsidP="00C03D6A">
            <w:pPr>
              <w:jc w:val="cente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 xml:space="preserve">% by PLS </w:t>
            </w:r>
            <w:proofErr w:type="spellStart"/>
            <w:r w:rsidRPr="00C03D6A">
              <w:rPr>
                <w:rFonts w:ascii="Arial" w:eastAsia="Times New Roman" w:hAnsi="Arial" w:cs="Arial"/>
                <w:b/>
                <w:bCs/>
                <w:color w:val="000000"/>
                <w:sz w:val="20"/>
                <w:szCs w:val="20"/>
              </w:rPr>
              <w:t>lb</w:t>
            </w:r>
            <w:proofErr w:type="spellEnd"/>
            <w:r w:rsidRPr="00C03D6A">
              <w:rPr>
                <w:rFonts w:ascii="Arial" w:eastAsia="Times New Roman" w:hAnsi="Arial" w:cs="Arial"/>
                <w:b/>
                <w:bCs/>
                <w:color w:val="000000"/>
                <w:sz w:val="20"/>
                <w:szCs w:val="20"/>
              </w:rPr>
              <w:t>/ac</w:t>
            </w:r>
          </w:p>
        </w:tc>
        <w:tc>
          <w:tcPr>
            <w:tcW w:w="1106" w:type="dxa"/>
            <w:tcBorders>
              <w:top w:val="single" w:sz="4" w:space="0" w:color="auto"/>
              <w:left w:val="nil"/>
              <w:bottom w:val="single" w:sz="4" w:space="0" w:color="auto"/>
              <w:right w:val="single" w:sz="4" w:space="0" w:color="auto"/>
            </w:tcBorders>
            <w:shd w:val="clear" w:color="000000" w:fill="9BC2E6"/>
            <w:vAlign w:val="bottom"/>
            <w:hideMark/>
          </w:tcPr>
          <w:p w14:paraId="1DAAC0A0" w14:textId="77777777" w:rsidR="00C03D6A" w:rsidRPr="00C03D6A" w:rsidRDefault="00C03D6A" w:rsidP="00C03D6A">
            <w:pPr>
              <w:jc w:val="center"/>
              <w:rPr>
                <w:rFonts w:ascii="Arial" w:eastAsia="Times New Roman" w:hAnsi="Arial" w:cs="Arial"/>
                <w:b/>
                <w:bCs/>
                <w:sz w:val="20"/>
                <w:szCs w:val="20"/>
              </w:rPr>
            </w:pPr>
            <w:r w:rsidRPr="00C03D6A">
              <w:rPr>
                <w:rFonts w:ascii="Arial" w:eastAsia="Times New Roman" w:hAnsi="Arial" w:cs="Arial"/>
                <w:b/>
                <w:bCs/>
                <w:sz w:val="20"/>
                <w:szCs w:val="20"/>
              </w:rPr>
              <w:t>Seeds/ft2</w:t>
            </w:r>
          </w:p>
        </w:tc>
        <w:tc>
          <w:tcPr>
            <w:tcW w:w="1106" w:type="dxa"/>
            <w:tcBorders>
              <w:top w:val="single" w:sz="4" w:space="0" w:color="auto"/>
              <w:left w:val="nil"/>
              <w:bottom w:val="single" w:sz="4" w:space="0" w:color="auto"/>
              <w:right w:val="single" w:sz="4" w:space="0" w:color="auto"/>
            </w:tcBorders>
            <w:shd w:val="clear" w:color="000000" w:fill="9BC2E6"/>
            <w:vAlign w:val="bottom"/>
            <w:hideMark/>
          </w:tcPr>
          <w:p w14:paraId="3AAC8E7F" w14:textId="77777777" w:rsidR="00C03D6A" w:rsidRPr="00C03D6A" w:rsidRDefault="00C03D6A" w:rsidP="00C03D6A">
            <w:pPr>
              <w:jc w:val="center"/>
              <w:rPr>
                <w:rFonts w:ascii="Arial" w:eastAsia="Times New Roman" w:hAnsi="Arial" w:cs="Arial"/>
                <w:b/>
                <w:bCs/>
                <w:sz w:val="20"/>
                <w:szCs w:val="20"/>
              </w:rPr>
            </w:pPr>
            <w:r w:rsidRPr="00C03D6A">
              <w:rPr>
                <w:rFonts w:ascii="Arial" w:eastAsia="Times New Roman" w:hAnsi="Arial" w:cs="Arial"/>
                <w:b/>
                <w:bCs/>
                <w:sz w:val="20"/>
                <w:szCs w:val="20"/>
              </w:rPr>
              <w:t>% by Seeds/ft2</w:t>
            </w:r>
          </w:p>
        </w:tc>
      </w:tr>
      <w:tr w:rsidR="00C03D6A" w:rsidRPr="00C03D6A" w14:paraId="666CED93"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16C6E2CB"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andger</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66F7389F"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Big Bluestem</w:t>
            </w:r>
          </w:p>
        </w:tc>
        <w:tc>
          <w:tcPr>
            <w:tcW w:w="2795" w:type="dxa"/>
            <w:tcBorders>
              <w:top w:val="nil"/>
              <w:left w:val="nil"/>
              <w:bottom w:val="single" w:sz="4" w:space="0" w:color="auto"/>
              <w:right w:val="single" w:sz="4" w:space="0" w:color="auto"/>
            </w:tcBorders>
            <w:shd w:val="clear" w:color="000000" w:fill="A9D08E"/>
            <w:noWrap/>
            <w:vAlign w:val="bottom"/>
            <w:hideMark/>
          </w:tcPr>
          <w:p w14:paraId="3544126A"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Andropogon gerardii</w:t>
            </w:r>
          </w:p>
        </w:tc>
        <w:tc>
          <w:tcPr>
            <w:tcW w:w="717" w:type="dxa"/>
            <w:tcBorders>
              <w:top w:val="nil"/>
              <w:left w:val="nil"/>
              <w:bottom w:val="single" w:sz="4" w:space="0" w:color="auto"/>
              <w:right w:val="single" w:sz="4" w:space="0" w:color="auto"/>
            </w:tcBorders>
            <w:shd w:val="clear" w:color="auto" w:fill="auto"/>
            <w:noWrap/>
            <w:vAlign w:val="bottom"/>
            <w:hideMark/>
          </w:tcPr>
          <w:p w14:paraId="0F834081"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1.91</w:t>
            </w:r>
          </w:p>
        </w:tc>
        <w:tc>
          <w:tcPr>
            <w:tcW w:w="1006" w:type="dxa"/>
            <w:tcBorders>
              <w:top w:val="nil"/>
              <w:left w:val="nil"/>
              <w:bottom w:val="single" w:sz="4" w:space="0" w:color="auto"/>
              <w:right w:val="single" w:sz="4" w:space="0" w:color="auto"/>
            </w:tcBorders>
            <w:shd w:val="clear" w:color="auto" w:fill="auto"/>
            <w:noWrap/>
            <w:vAlign w:val="bottom"/>
            <w:hideMark/>
          </w:tcPr>
          <w:p w14:paraId="394E6018"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6.14%</w:t>
            </w:r>
          </w:p>
        </w:tc>
        <w:tc>
          <w:tcPr>
            <w:tcW w:w="1106" w:type="dxa"/>
            <w:tcBorders>
              <w:top w:val="nil"/>
              <w:left w:val="nil"/>
              <w:bottom w:val="single" w:sz="4" w:space="0" w:color="auto"/>
              <w:right w:val="single" w:sz="4" w:space="0" w:color="auto"/>
            </w:tcBorders>
            <w:shd w:val="clear" w:color="auto" w:fill="auto"/>
            <w:noWrap/>
            <w:vAlign w:val="bottom"/>
            <w:hideMark/>
          </w:tcPr>
          <w:p w14:paraId="0EC93A49"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7.02</w:t>
            </w:r>
          </w:p>
        </w:tc>
        <w:tc>
          <w:tcPr>
            <w:tcW w:w="1106" w:type="dxa"/>
            <w:tcBorders>
              <w:top w:val="nil"/>
              <w:left w:val="nil"/>
              <w:bottom w:val="single" w:sz="4" w:space="0" w:color="auto"/>
              <w:right w:val="single" w:sz="4" w:space="0" w:color="auto"/>
            </w:tcBorders>
            <w:shd w:val="clear" w:color="auto" w:fill="auto"/>
            <w:noWrap/>
            <w:vAlign w:val="bottom"/>
            <w:hideMark/>
          </w:tcPr>
          <w:p w14:paraId="58CDB385"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6.33%</w:t>
            </w:r>
          </w:p>
        </w:tc>
      </w:tr>
      <w:tr w:rsidR="00C03D6A" w:rsidRPr="00C03D6A" w14:paraId="6FE58167"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7BE30EB2"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brocil</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50B7AAE3"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Fringed Brome</w:t>
            </w:r>
          </w:p>
        </w:tc>
        <w:tc>
          <w:tcPr>
            <w:tcW w:w="2795" w:type="dxa"/>
            <w:tcBorders>
              <w:top w:val="nil"/>
              <w:left w:val="nil"/>
              <w:bottom w:val="single" w:sz="4" w:space="0" w:color="auto"/>
              <w:right w:val="single" w:sz="4" w:space="0" w:color="auto"/>
            </w:tcBorders>
            <w:shd w:val="clear" w:color="000000" w:fill="A9D08E"/>
            <w:noWrap/>
            <w:vAlign w:val="bottom"/>
            <w:hideMark/>
          </w:tcPr>
          <w:p w14:paraId="3123B9C8"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 xml:space="preserve">Bromus </w:t>
            </w:r>
            <w:proofErr w:type="spellStart"/>
            <w:r w:rsidRPr="00C03D6A">
              <w:rPr>
                <w:rFonts w:ascii="Arial" w:eastAsia="Times New Roman" w:hAnsi="Arial" w:cs="Arial"/>
                <w:color w:val="000000"/>
                <w:sz w:val="20"/>
                <w:szCs w:val="20"/>
              </w:rPr>
              <w:t>ciliatus</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429AF60A"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0.99</w:t>
            </w:r>
          </w:p>
        </w:tc>
        <w:tc>
          <w:tcPr>
            <w:tcW w:w="1006" w:type="dxa"/>
            <w:tcBorders>
              <w:top w:val="nil"/>
              <w:left w:val="nil"/>
              <w:bottom w:val="single" w:sz="4" w:space="0" w:color="auto"/>
              <w:right w:val="single" w:sz="4" w:space="0" w:color="auto"/>
            </w:tcBorders>
            <w:shd w:val="clear" w:color="auto" w:fill="auto"/>
            <w:noWrap/>
            <w:vAlign w:val="bottom"/>
            <w:hideMark/>
          </w:tcPr>
          <w:p w14:paraId="4DDDA2F1"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3.18%</w:t>
            </w:r>
          </w:p>
        </w:tc>
        <w:tc>
          <w:tcPr>
            <w:tcW w:w="1106" w:type="dxa"/>
            <w:tcBorders>
              <w:top w:val="nil"/>
              <w:left w:val="nil"/>
              <w:bottom w:val="single" w:sz="4" w:space="0" w:color="auto"/>
              <w:right w:val="single" w:sz="4" w:space="0" w:color="auto"/>
            </w:tcBorders>
            <w:shd w:val="clear" w:color="auto" w:fill="auto"/>
            <w:noWrap/>
            <w:vAlign w:val="bottom"/>
            <w:hideMark/>
          </w:tcPr>
          <w:p w14:paraId="4AC0D210"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4.00</w:t>
            </w:r>
          </w:p>
        </w:tc>
        <w:tc>
          <w:tcPr>
            <w:tcW w:w="1106" w:type="dxa"/>
            <w:tcBorders>
              <w:top w:val="nil"/>
              <w:left w:val="nil"/>
              <w:bottom w:val="single" w:sz="4" w:space="0" w:color="auto"/>
              <w:right w:val="single" w:sz="4" w:space="0" w:color="auto"/>
            </w:tcBorders>
            <w:shd w:val="clear" w:color="auto" w:fill="auto"/>
            <w:noWrap/>
            <w:vAlign w:val="bottom"/>
            <w:hideMark/>
          </w:tcPr>
          <w:p w14:paraId="624799D6"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3.61%</w:t>
            </w:r>
          </w:p>
        </w:tc>
      </w:tr>
      <w:tr w:rsidR="00C03D6A" w:rsidRPr="00C03D6A" w14:paraId="3B0A4A57"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2A24461"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calcan</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36260FBC"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Bluejoint Grass</w:t>
            </w:r>
          </w:p>
        </w:tc>
        <w:tc>
          <w:tcPr>
            <w:tcW w:w="2795" w:type="dxa"/>
            <w:tcBorders>
              <w:top w:val="nil"/>
              <w:left w:val="nil"/>
              <w:bottom w:val="single" w:sz="4" w:space="0" w:color="auto"/>
              <w:right w:val="single" w:sz="4" w:space="0" w:color="auto"/>
            </w:tcBorders>
            <w:shd w:val="clear" w:color="000000" w:fill="A9D08E"/>
            <w:noWrap/>
            <w:vAlign w:val="bottom"/>
            <w:hideMark/>
          </w:tcPr>
          <w:p w14:paraId="6D36789C"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Calamagrostis canadensis</w:t>
            </w:r>
          </w:p>
        </w:tc>
        <w:tc>
          <w:tcPr>
            <w:tcW w:w="717" w:type="dxa"/>
            <w:tcBorders>
              <w:top w:val="nil"/>
              <w:left w:val="nil"/>
              <w:bottom w:val="single" w:sz="4" w:space="0" w:color="auto"/>
              <w:right w:val="single" w:sz="4" w:space="0" w:color="auto"/>
            </w:tcBorders>
            <w:shd w:val="clear" w:color="auto" w:fill="auto"/>
            <w:noWrap/>
            <w:vAlign w:val="bottom"/>
            <w:hideMark/>
          </w:tcPr>
          <w:p w14:paraId="5DBDE64A"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0.04</w:t>
            </w:r>
          </w:p>
        </w:tc>
        <w:tc>
          <w:tcPr>
            <w:tcW w:w="1006" w:type="dxa"/>
            <w:tcBorders>
              <w:top w:val="nil"/>
              <w:left w:val="nil"/>
              <w:bottom w:val="single" w:sz="4" w:space="0" w:color="auto"/>
              <w:right w:val="single" w:sz="4" w:space="0" w:color="auto"/>
            </w:tcBorders>
            <w:shd w:val="clear" w:color="auto" w:fill="auto"/>
            <w:noWrap/>
            <w:vAlign w:val="bottom"/>
            <w:hideMark/>
          </w:tcPr>
          <w:p w14:paraId="59389B32"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6BA69FBC"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4.11</w:t>
            </w:r>
          </w:p>
        </w:tc>
        <w:tc>
          <w:tcPr>
            <w:tcW w:w="1106" w:type="dxa"/>
            <w:tcBorders>
              <w:top w:val="nil"/>
              <w:left w:val="nil"/>
              <w:bottom w:val="single" w:sz="4" w:space="0" w:color="auto"/>
              <w:right w:val="single" w:sz="4" w:space="0" w:color="auto"/>
            </w:tcBorders>
            <w:shd w:val="clear" w:color="auto" w:fill="auto"/>
            <w:noWrap/>
            <w:vAlign w:val="bottom"/>
            <w:hideMark/>
          </w:tcPr>
          <w:p w14:paraId="724ACF94"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3.71%</w:t>
            </w:r>
          </w:p>
        </w:tc>
      </w:tr>
      <w:tr w:rsidR="00C03D6A" w:rsidRPr="00C03D6A" w14:paraId="23B46DBE"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14D2C2E6"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elyvir</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748BBC7B"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Virginia Wild Rye</w:t>
            </w:r>
          </w:p>
        </w:tc>
        <w:tc>
          <w:tcPr>
            <w:tcW w:w="2795" w:type="dxa"/>
            <w:tcBorders>
              <w:top w:val="nil"/>
              <w:left w:val="nil"/>
              <w:bottom w:val="single" w:sz="4" w:space="0" w:color="auto"/>
              <w:right w:val="single" w:sz="4" w:space="0" w:color="auto"/>
            </w:tcBorders>
            <w:shd w:val="clear" w:color="000000" w:fill="A9D08E"/>
            <w:noWrap/>
            <w:vAlign w:val="bottom"/>
            <w:hideMark/>
          </w:tcPr>
          <w:p w14:paraId="2FCAAD1A"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Elymus virginicus</w:t>
            </w:r>
          </w:p>
        </w:tc>
        <w:tc>
          <w:tcPr>
            <w:tcW w:w="717" w:type="dxa"/>
            <w:tcBorders>
              <w:top w:val="nil"/>
              <w:left w:val="nil"/>
              <w:bottom w:val="single" w:sz="4" w:space="0" w:color="auto"/>
              <w:right w:val="single" w:sz="4" w:space="0" w:color="auto"/>
            </w:tcBorders>
            <w:shd w:val="clear" w:color="auto" w:fill="auto"/>
            <w:noWrap/>
            <w:vAlign w:val="bottom"/>
            <w:hideMark/>
          </w:tcPr>
          <w:p w14:paraId="0D5F8003"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1.94</w:t>
            </w:r>
          </w:p>
        </w:tc>
        <w:tc>
          <w:tcPr>
            <w:tcW w:w="1006" w:type="dxa"/>
            <w:tcBorders>
              <w:top w:val="nil"/>
              <w:left w:val="nil"/>
              <w:bottom w:val="single" w:sz="4" w:space="0" w:color="auto"/>
              <w:right w:val="single" w:sz="4" w:space="0" w:color="auto"/>
            </w:tcBorders>
            <w:shd w:val="clear" w:color="auto" w:fill="auto"/>
            <w:noWrap/>
            <w:vAlign w:val="bottom"/>
            <w:hideMark/>
          </w:tcPr>
          <w:p w14:paraId="23BEA418"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6.24%</w:t>
            </w:r>
          </w:p>
        </w:tc>
        <w:tc>
          <w:tcPr>
            <w:tcW w:w="1106" w:type="dxa"/>
            <w:tcBorders>
              <w:top w:val="nil"/>
              <w:left w:val="nil"/>
              <w:bottom w:val="single" w:sz="4" w:space="0" w:color="auto"/>
              <w:right w:val="single" w:sz="4" w:space="0" w:color="auto"/>
            </w:tcBorders>
            <w:shd w:val="clear" w:color="auto" w:fill="auto"/>
            <w:noWrap/>
            <w:vAlign w:val="bottom"/>
            <w:hideMark/>
          </w:tcPr>
          <w:p w14:paraId="63A9FE9D"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2.99</w:t>
            </w:r>
          </w:p>
        </w:tc>
        <w:tc>
          <w:tcPr>
            <w:tcW w:w="1106" w:type="dxa"/>
            <w:tcBorders>
              <w:top w:val="nil"/>
              <w:left w:val="nil"/>
              <w:bottom w:val="single" w:sz="4" w:space="0" w:color="auto"/>
              <w:right w:val="single" w:sz="4" w:space="0" w:color="auto"/>
            </w:tcBorders>
            <w:shd w:val="clear" w:color="auto" w:fill="auto"/>
            <w:noWrap/>
            <w:vAlign w:val="bottom"/>
            <w:hideMark/>
          </w:tcPr>
          <w:p w14:paraId="0B99BB55"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2.70%</w:t>
            </w:r>
          </w:p>
        </w:tc>
      </w:tr>
      <w:tr w:rsidR="00C03D6A" w:rsidRPr="00C03D6A" w14:paraId="60CBB19E"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BE2DEE6"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glygra</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298E0555"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American Manna Grass</w:t>
            </w:r>
          </w:p>
        </w:tc>
        <w:tc>
          <w:tcPr>
            <w:tcW w:w="2795" w:type="dxa"/>
            <w:tcBorders>
              <w:top w:val="nil"/>
              <w:left w:val="nil"/>
              <w:bottom w:val="single" w:sz="4" w:space="0" w:color="auto"/>
              <w:right w:val="single" w:sz="4" w:space="0" w:color="auto"/>
            </w:tcBorders>
            <w:shd w:val="clear" w:color="000000" w:fill="A9D08E"/>
            <w:noWrap/>
            <w:vAlign w:val="bottom"/>
            <w:hideMark/>
          </w:tcPr>
          <w:p w14:paraId="486F574F"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Glyceria</w:t>
            </w:r>
            <w:proofErr w:type="spellEnd"/>
            <w:r w:rsidRPr="00C03D6A">
              <w:rPr>
                <w:rFonts w:ascii="Arial" w:eastAsia="Times New Roman" w:hAnsi="Arial" w:cs="Arial"/>
                <w:color w:val="000000"/>
                <w:sz w:val="20"/>
                <w:szCs w:val="20"/>
              </w:rPr>
              <w:t xml:space="preserve"> grandis</w:t>
            </w:r>
          </w:p>
        </w:tc>
        <w:tc>
          <w:tcPr>
            <w:tcW w:w="717" w:type="dxa"/>
            <w:tcBorders>
              <w:top w:val="nil"/>
              <w:left w:val="nil"/>
              <w:bottom w:val="single" w:sz="4" w:space="0" w:color="auto"/>
              <w:right w:val="single" w:sz="4" w:space="0" w:color="auto"/>
            </w:tcBorders>
            <w:shd w:val="clear" w:color="auto" w:fill="auto"/>
            <w:noWrap/>
            <w:vAlign w:val="bottom"/>
            <w:hideMark/>
          </w:tcPr>
          <w:p w14:paraId="72754BD6"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0.19</w:t>
            </w:r>
          </w:p>
        </w:tc>
        <w:tc>
          <w:tcPr>
            <w:tcW w:w="1006" w:type="dxa"/>
            <w:tcBorders>
              <w:top w:val="nil"/>
              <w:left w:val="nil"/>
              <w:bottom w:val="single" w:sz="4" w:space="0" w:color="auto"/>
              <w:right w:val="single" w:sz="4" w:space="0" w:color="auto"/>
            </w:tcBorders>
            <w:shd w:val="clear" w:color="auto" w:fill="auto"/>
            <w:noWrap/>
            <w:vAlign w:val="bottom"/>
            <w:hideMark/>
          </w:tcPr>
          <w:p w14:paraId="18EB3E4A"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0.61%</w:t>
            </w:r>
          </w:p>
        </w:tc>
        <w:tc>
          <w:tcPr>
            <w:tcW w:w="1106" w:type="dxa"/>
            <w:tcBorders>
              <w:top w:val="nil"/>
              <w:left w:val="nil"/>
              <w:bottom w:val="single" w:sz="4" w:space="0" w:color="auto"/>
              <w:right w:val="single" w:sz="4" w:space="0" w:color="auto"/>
            </w:tcBorders>
            <w:shd w:val="clear" w:color="auto" w:fill="auto"/>
            <w:noWrap/>
            <w:vAlign w:val="bottom"/>
            <w:hideMark/>
          </w:tcPr>
          <w:p w14:paraId="13C165F1"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4.89</w:t>
            </w:r>
          </w:p>
        </w:tc>
        <w:tc>
          <w:tcPr>
            <w:tcW w:w="1106" w:type="dxa"/>
            <w:tcBorders>
              <w:top w:val="nil"/>
              <w:left w:val="nil"/>
              <w:bottom w:val="single" w:sz="4" w:space="0" w:color="auto"/>
              <w:right w:val="single" w:sz="4" w:space="0" w:color="auto"/>
            </w:tcBorders>
            <w:shd w:val="clear" w:color="auto" w:fill="auto"/>
            <w:noWrap/>
            <w:vAlign w:val="bottom"/>
            <w:hideMark/>
          </w:tcPr>
          <w:p w14:paraId="7D7085D8"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4.40%</w:t>
            </w:r>
          </w:p>
        </w:tc>
      </w:tr>
      <w:tr w:rsidR="00C03D6A" w:rsidRPr="00C03D6A" w14:paraId="4F156AEC"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169E7DF"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poapal</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56F117F3"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Fowl Bluegrass</w:t>
            </w:r>
          </w:p>
        </w:tc>
        <w:tc>
          <w:tcPr>
            <w:tcW w:w="2795" w:type="dxa"/>
            <w:tcBorders>
              <w:top w:val="nil"/>
              <w:left w:val="nil"/>
              <w:bottom w:val="single" w:sz="4" w:space="0" w:color="auto"/>
              <w:right w:val="single" w:sz="4" w:space="0" w:color="auto"/>
            </w:tcBorders>
            <w:shd w:val="clear" w:color="000000" w:fill="A9D08E"/>
            <w:noWrap/>
            <w:vAlign w:val="bottom"/>
            <w:hideMark/>
          </w:tcPr>
          <w:p w14:paraId="7A30991F"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Poa palustris</w:t>
            </w:r>
          </w:p>
        </w:tc>
        <w:tc>
          <w:tcPr>
            <w:tcW w:w="717" w:type="dxa"/>
            <w:tcBorders>
              <w:top w:val="nil"/>
              <w:left w:val="nil"/>
              <w:bottom w:val="single" w:sz="4" w:space="0" w:color="auto"/>
              <w:right w:val="single" w:sz="4" w:space="0" w:color="auto"/>
            </w:tcBorders>
            <w:shd w:val="clear" w:color="auto" w:fill="auto"/>
            <w:noWrap/>
            <w:vAlign w:val="bottom"/>
            <w:hideMark/>
          </w:tcPr>
          <w:p w14:paraId="356F2962"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0.17</w:t>
            </w:r>
          </w:p>
        </w:tc>
        <w:tc>
          <w:tcPr>
            <w:tcW w:w="1006" w:type="dxa"/>
            <w:tcBorders>
              <w:top w:val="nil"/>
              <w:left w:val="nil"/>
              <w:bottom w:val="single" w:sz="4" w:space="0" w:color="auto"/>
              <w:right w:val="single" w:sz="4" w:space="0" w:color="auto"/>
            </w:tcBorders>
            <w:shd w:val="clear" w:color="auto" w:fill="auto"/>
            <w:noWrap/>
            <w:vAlign w:val="bottom"/>
            <w:hideMark/>
          </w:tcPr>
          <w:p w14:paraId="04935678"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0.55%</w:t>
            </w:r>
          </w:p>
        </w:tc>
        <w:tc>
          <w:tcPr>
            <w:tcW w:w="1106" w:type="dxa"/>
            <w:tcBorders>
              <w:top w:val="nil"/>
              <w:left w:val="nil"/>
              <w:bottom w:val="single" w:sz="4" w:space="0" w:color="auto"/>
              <w:right w:val="single" w:sz="4" w:space="0" w:color="auto"/>
            </w:tcBorders>
            <w:shd w:val="clear" w:color="auto" w:fill="auto"/>
            <w:noWrap/>
            <w:vAlign w:val="bottom"/>
            <w:hideMark/>
          </w:tcPr>
          <w:p w14:paraId="2368E01C"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8.12</w:t>
            </w:r>
          </w:p>
        </w:tc>
        <w:tc>
          <w:tcPr>
            <w:tcW w:w="1106" w:type="dxa"/>
            <w:tcBorders>
              <w:top w:val="nil"/>
              <w:left w:val="nil"/>
              <w:bottom w:val="single" w:sz="4" w:space="0" w:color="auto"/>
              <w:right w:val="single" w:sz="4" w:space="0" w:color="auto"/>
            </w:tcBorders>
            <w:shd w:val="clear" w:color="auto" w:fill="auto"/>
            <w:noWrap/>
            <w:vAlign w:val="bottom"/>
            <w:hideMark/>
          </w:tcPr>
          <w:p w14:paraId="096A5397"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7.32%</w:t>
            </w:r>
          </w:p>
        </w:tc>
      </w:tr>
      <w:tr w:rsidR="00C03D6A" w:rsidRPr="00C03D6A" w14:paraId="1EB17729"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3B3B9E1"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spapec</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20EE8D8F"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Prairie Cord Grass</w:t>
            </w:r>
          </w:p>
        </w:tc>
        <w:tc>
          <w:tcPr>
            <w:tcW w:w="2795" w:type="dxa"/>
            <w:tcBorders>
              <w:top w:val="nil"/>
              <w:left w:val="nil"/>
              <w:bottom w:val="single" w:sz="4" w:space="0" w:color="auto"/>
              <w:right w:val="single" w:sz="4" w:space="0" w:color="auto"/>
            </w:tcBorders>
            <w:shd w:val="clear" w:color="000000" w:fill="A9D08E"/>
            <w:noWrap/>
            <w:vAlign w:val="bottom"/>
            <w:hideMark/>
          </w:tcPr>
          <w:p w14:paraId="7AB96FDA"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Spartina pectinata</w:t>
            </w:r>
          </w:p>
        </w:tc>
        <w:tc>
          <w:tcPr>
            <w:tcW w:w="717" w:type="dxa"/>
            <w:tcBorders>
              <w:top w:val="nil"/>
              <w:left w:val="nil"/>
              <w:bottom w:val="single" w:sz="4" w:space="0" w:color="auto"/>
              <w:right w:val="single" w:sz="4" w:space="0" w:color="auto"/>
            </w:tcBorders>
            <w:shd w:val="clear" w:color="auto" w:fill="auto"/>
            <w:noWrap/>
            <w:vAlign w:val="bottom"/>
            <w:hideMark/>
          </w:tcPr>
          <w:p w14:paraId="3704F448"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0.21</w:t>
            </w:r>
          </w:p>
        </w:tc>
        <w:tc>
          <w:tcPr>
            <w:tcW w:w="1006" w:type="dxa"/>
            <w:tcBorders>
              <w:top w:val="nil"/>
              <w:left w:val="nil"/>
              <w:bottom w:val="single" w:sz="4" w:space="0" w:color="auto"/>
              <w:right w:val="single" w:sz="4" w:space="0" w:color="auto"/>
            </w:tcBorders>
            <w:shd w:val="clear" w:color="auto" w:fill="auto"/>
            <w:noWrap/>
            <w:vAlign w:val="bottom"/>
            <w:hideMark/>
          </w:tcPr>
          <w:p w14:paraId="541C522F"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0.68%</w:t>
            </w:r>
          </w:p>
        </w:tc>
        <w:tc>
          <w:tcPr>
            <w:tcW w:w="1106" w:type="dxa"/>
            <w:tcBorders>
              <w:top w:val="nil"/>
              <w:left w:val="nil"/>
              <w:bottom w:val="single" w:sz="4" w:space="0" w:color="auto"/>
              <w:right w:val="single" w:sz="4" w:space="0" w:color="auto"/>
            </w:tcBorders>
            <w:shd w:val="clear" w:color="auto" w:fill="auto"/>
            <w:noWrap/>
            <w:vAlign w:val="bottom"/>
            <w:hideMark/>
          </w:tcPr>
          <w:p w14:paraId="5D89C1B8"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0.51</w:t>
            </w:r>
          </w:p>
        </w:tc>
        <w:tc>
          <w:tcPr>
            <w:tcW w:w="1106" w:type="dxa"/>
            <w:tcBorders>
              <w:top w:val="nil"/>
              <w:left w:val="nil"/>
              <w:bottom w:val="single" w:sz="4" w:space="0" w:color="auto"/>
              <w:right w:val="single" w:sz="4" w:space="0" w:color="auto"/>
            </w:tcBorders>
            <w:shd w:val="clear" w:color="auto" w:fill="auto"/>
            <w:noWrap/>
            <w:vAlign w:val="bottom"/>
            <w:hideMark/>
          </w:tcPr>
          <w:p w14:paraId="08D99839"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0.46%</w:t>
            </w:r>
          </w:p>
        </w:tc>
      </w:tr>
      <w:tr w:rsidR="00C03D6A" w:rsidRPr="00C03D6A" w14:paraId="7B6C6B6D" w14:textId="77777777" w:rsidTr="00E821C2">
        <w:trPr>
          <w:trHeight w:val="255"/>
        </w:trPr>
        <w:tc>
          <w:tcPr>
            <w:tcW w:w="939" w:type="dxa"/>
            <w:tcBorders>
              <w:top w:val="nil"/>
              <w:left w:val="single" w:sz="4" w:space="0" w:color="auto"/>
              <w:bottom w:val="single" w:sz="4" w:space="0" w:color="auto"/>
              <w:right w:val="single" w:sz="4" w:space="0" w:color="auto"/>
            </w:tcBorders>
            <w:shd w:val="clear" w:color="000000" w:fill="9BC2E6"/>
            <w:noWrap/>
            <w:vAlign w:val="bottom"/>
            <w:hideMark/>
          </w:tcPr>
          <w:p w14:paraId="19351911"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 </w:t>
            </w:r>
          </w:p>
        </w:tc>
        <w:tc>
          <w:tcPr>
            <w:tcW w:w="2336" w:type="dxa"/>
            <w:tcBorders>
              <w:top w:val="nil"/>
              <w:left w:val="nil"/>
              <w:bottom w:val="single" w:sz="4" w:space="0" w:color="auto"/>
              <w:right w:val="single" w:sz="4" w:space="0" w:color="auto"/>
            </w:tcBorders>
            <w:shd w:val="clear" w:color="000000" w:fill="9BC2E6"/>
            <w:noWrap/>
            <w:vAlign w:val="bottom"/>
            <w:hideMark/>
          </w:tcPr>
          <w:p w14:paraId="250F6B5B"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 </w:t>
            </w:r>
          </w:p>
        </w:tc>
        <w:tc>
          <w:tcPr>
            <w:tcW w:w="2795" w:type="dxa"/>
            <w:tcBorders>
              <w:top w:val="nil"/>
              <w:left w:val="nil"/>
              <w:bottom w:val="single" w:sz="4" w:space="0" w:color="auto"/>
              <w:right w:val="single" w:sz="4" w:space="0" w:color="auto"/>
            </w:tcBorders>
            <w:shd w:val="clear" w:color="000000" w:fill="9BC2E6"/>
            <w:noWrap/>
            <w:vAlign w:val="bottom"/>
            <w:hideMark/>
          </w:tcPr>
          <w:p w14:paraId="5B965527"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Grasses Subtotal</w:t>
            </w:r>
          </w:p>
        </w:tc>
        <w:tc>
          <w:tcPr>
            <w:tcW w:w="717" w:type="dxa"/>
            <w:tcBorders>
              <w:top w:val="nil"/>
              <w:left w:val="nil"/>
              <w:bottom w:val="single" w:sz="4" w:space="0" w:color="auto"/>
              <w:right w:val="single" w:sz="4" w:space="0" w:color="auto"/>
            </w:tcBorders>
            <w:shd w:val="clear" w:color="000000" w:fill="9BC2E6"/>
            <w:noWrap/>
            <w:vAlign w:val="bottom"/>
            <w:hideMark/>
          </w:tcPr>
          <w:p w14:paraId="314DA3DE"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5.45</w:t>
            </w:r>
          </w:p>
        </w:tc>
        <w:tc>
          <w:tcPr>
            <w:tcW w:w="1006" w:type="dxa"/>
            <w:tcBorders>
              <w:top w:val="nil"/>
              <w:left w:val="nil"/>
              <w:bottom w:val="single" w:sz="4" w:space="0" w:color="auto"/>
              <w:right w:val="single" w:sz="4" w:space="0" w:color="auto"/>
            </w:tcBorders>
            <w:shd w:val="clear" w:color="000000" w:fill="9BC2E6"/>
            <w:noWrap/>
            <w:vAlign w:val="bottom"/>
            <w:hideMark/>
          </w:tcPr>
          <w:p w14:paraId="0A94484E"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17.52%</w:t>
            </w:r>
          </w:p>
        </w:tc>
        <w:tc>
          <w:tcPr>
            <w:tcW w:w="1106" w:type="dxa"/>
            <w:tcBorders>
              <w:top w:val="nil"/>
              <w:left w:val="nil"/>
              <w:bottom w:val="single" w:sz="4" w:space="0" w:color="auto"/>
              <w:right w:val="single" w:sz="4" w:space="0" w:color="auto"/>
            </w:tcBorders>
            <w:shd w:val="clear" w:color="000000" w:fill="9BC2E6"/>
            <w:noWrap/>
            <w:vAlign w:val="bottom"/>
            <w:hideMark/>
          </w:tcPr>
          <w:p w14:paraId="75A684D7"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31.63</w:t>
            </w:r>
          </w:p>
        </w:tc>
        <w:tc>
          <w:tcPr>
            <w:tcW w:w="1106" w:type="dxa"/>
            <w:tcBorders>
              <w:top w:val="nil"/>
              <w:left w:val="nil"/>
              <w:bottom w:val="single" w:sz="4" w:space="0" w:color="auto"/>
              <w:right w:val="single" w:sz="4" w:space="0" w:color="auto"/>
            </w:tcBorders>
            <w:shd w:val="clear" w:color="000000" w:fill="9BC2E6"/>
            <w:noWrap/>
            <w:vAlign w:val="bottom"/>
            <w:hideMark/>
          </w:tcPr>
          <w:p w14:paraId="10432844"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28.52%</w:t>
            </w:r>
          </w:p>
        </w:tc>
      </w:tr>
      <w:tr w:rsidR="00C03D6A" w:rsidRPr="00C03D6A" w14:paraId="42DEA360"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96233AE"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carsco</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17655016"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Pointed-broom Sedge</w:t>
            </w:r>
          </w:p>
        </w:tc>
        <w:tc>
          <w:tcPr>
            <w:tcW w:w="2795" w:type="dxa"/>
            <w:tcBorders>
              <w:top w:val="nil"/>
              <w:left w:val="nil"/>
              <w:bottom w:val="single" w:sz="4" w:space="0" w:color="auto"/>
              <w:right w:val="single" w:sz="4" w:space="0" w:color="auto"/>
            </w:tcBorders>
            <w:shd w:val="clear" w:color="000000" w:fill="A9D08E"/>
            <w:noWrap/>
            <w:vAlign w:val="bottom"/>
            <w:hideMark/>
          </w:tcPr>
          <w:p w14:paraId="24BE2679"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Carex</w:t>
            </w:r>
            <w:proofErr w:type="spellEnd"/>
            <w:r w:rsidRPr="00C03D6A">
              <w:rPr>
                <w:rFonts w:ascii="Arial" w:eastAsia="Times New Roman" w:hAnsi="Arial" w:cs="Arial"/>
                <w:color w:val="000000"/>
                <w:sz w:val="20"/>
                <w:szCs w:val="20"/>
              </w:rPr>
              <w:t xml:space="preserve"> scoparia</w:t>
            </w:r>
          </w:p>
        </w:tc>
        <w:tc>
          <w:tcPr>
            <w:tcW w:w="717" w:type="dxa"/>
            <w:tcBorders>
              <w:top w:val="nil"/>
              <w:left w:val="nil"/>
              <w:bottom w:val="single" w:sz="4" w:space="0" w:color="auto"/>
              <w:right w:val="single" w:sz="4" w:space="0" w:color="auto"/>
            </w:tcBorders>
            <w:shd w:val="clear" w:color="auto" w:fill="auto"/>
            <w:noWrap/>
            <w:vAlign w:val="bottom"/>
            <w:hideMark/>
          </w:tcPr>
          <w:p w14:paraId="2DD6B890"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0.03</w:t>
            </w:r>
          </w:p>
        </w:tc>
        <w:tc>
          <w:tcPr>
            <w:tcW w:w="1006" w:type="dxa"/>
            <w:tcBorders>
              <w:top w:val="nil"/>
              <w:left w:val="nil"/>
              <w:bottom w:val="single" w:sz="4" w:space="0" w:color="auto"/>
              <w:right w:val="single" w:sz="4" w:space="0" w:color="auto"/>
            </w:tcBorders>
            <w:shd w:val="clear" w:color="auto" w:fill="auto"/>
            <w:noWrap/>
            <w:vAlign w:val="bottom"/>
            <w:hideMark/>
          </w:tcPr>
          <w:p w14:paraId="21734687"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0.10%</w:t>
            </w:r>
          </w:p>
        </w:tc>
        <w:tc>
          <w:tcPr>
            <w:tcW w:w="1106" w:type="dxa"/>
            <w:tcBorders>
              <w:top w:val="nil"/>
              <w:left w:val="nil"/>
              <w:bottom w:val="single" w:sz="4" w:space="0" w:color="auto"/>
              <w:right w:val="single" w:sz="4" w:space="0" w:color="auto"/>
            </w:tcBorders>
            <w:shd w:val="clear" w:color="auto" w:fill="auto"/>
            <w:noWrap/>
            <w:vAlign w:val="bottom"/>
            <w:hideMark/>
          </w:tcPr>
          <w:p w14:paraId="5E657731"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0.93</w:t>
            </w:r>
          </w:p>
        </w:tc>
        <w:tc>
          <w:tcPr>
            <w:tcW w:w="1106" w:type="dxa"/>
            <w:tcBorders>
              <w:top w:val="nil"/>
              <w:left w:val="nil"/>
              <w:bottom w:val="single" w:sz="4" w:space="0" w:color="auto"/>
              <w:right w:val="single" w:sz="4" w:space="0" w:color="auto"/>
            </w:tcBorders>
            <w:shd w:val="clear" w:color="auto" w:fill="auto"/>
            <w:noWrap/>
            <w:vAlign w:val="bottom"/>
            <w:hideMark/>
          </w:tcPr>
          <w:p w14:paraId="759A7DF2"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0.83%</w:t>
            </w:r>
          </w:p>
        </w:tc>
      </w:tr>
      <w:tr w:rsidR="00C03D6A" w:rsidRPr="00C03D6A" w14:paraId="13AB80F6"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722E7A74"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carvul</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7C1CB982"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Brown Fox Sedge</w:t>
            </w:r>
          </w:p>
        </w:tc>
        <w:tc>
          <w:tcPr>
            <w:tcW w:w="2795" w:type="dxa"/>
            <w:tcBorders>
              <w:top w:val="nil"/>
              <w:left w:val="nil"/>
              <w:bottom w:val="single" w:sz="4" w:space="0" w:color="auto"/>
              <w:right w:val="single" w:sz="4" w:space="0" w:color="auto"/>
            </w:tcBorders>
            <w:shd w:val="clear" w:color="000000" w:fill="A9D08E"/>
            <w:noWrap/>
            <w:vAlign w:val="bottom"/>
            <w:hideMark/>
          </w:tcPr>
          <w:p w14:paraId="7505BCB7"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Carex</w:t>
            </w:r>
            <w:proofErr w:type="spellEnd"/>
            <w:r w:rsidRPr="00C03D6A">
              <w:rPr>
                <w:rFonts w:ascii="Arial" w:eastAsia="Times New Roman" w:hAnsi="Arial" w:cs="Arial"/>
                <w:color w:val="000000"/>
                <w:sz w:val="20"/>
                <w:szCs w:val="20"/>
              </w:rPr>
              <w:t xml:space="preserve"> </w:t>
            </w:r>
            <w:proofErr w:type="spellStart"/>
            <w:r w:rsidRPr="00C03D6A">
              <w:rPr>
                <w:rFonts w:ascii="Arial" w:eastAsia="Times New Roman" w:hAnsi="Arial" w:cs="Arial"/>
                <w:color w:val="000000"/>
                <w:sz w:val="20"/>
                <w:szCs w:val="20"/>
              </w:rPr>
              <w:t>vulpinoidea</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7825A87F"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0.14</w:t>
            </w:r>
          </w:p>
        </w:tc>
        <w:tc>
          <w:tcPr>
            <w:tcW w:w="1006" w:type="dxa"/>
            <w:tcBorders>
              <w:top w:val="nil"/>
              <w:left w:val="nil"/>
              <w:bottom w:val="single" w:sz="4" w:space="0" w:color="auto"/>
              <w:right w:val="single" w:sz="4" w:space="0" w:color="auto"/>
            </w:tcBorders>
            <w:shd w:val="clear" w:color="auto" w:fill="auto"/>
            <w:noWrap/>
            <w:vAlign w:val="bottom"/>
            <w:hideMark/>
          </w:tcPr>
          <w:p w14:paraId="57BDFF41"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0.45%</w:t>
            </w:r>
          </w:p>
        </w:tc>
        <w:tc>
          <w:tcPr>
            <w:tcW w:w="1106" w:type="dxa"/>
            <w:tcBorders>
              <w:top w:val="nil"/>
              <w:left w:val="nil"/>
              <w:bottom w:val="single" w:sz="4" w:space="0" w:color="auto"/>
              <w:right w:val="single" w:sz="4" w:space="0" w:color="auto"/>
            </w:tcBorders>
            <w:shd w:val="clear" w:color="auto" w:fill="auto"/>
            <w:noWrap/>
            <w:vAlign w:val="bottom"/>
            <w:hideMark/>
          </w:tcPr>
          <w:p w14:paraId="2EF648D7"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5.14</w:t>
            </w:r>
          </w:p>
        </w:tc>
        <w:tc>
          <w:tcPr>
            <w:tcW w:w="1106" w:type="dxa"/>
            <w:tcBorders>
              <w:top w:val="nil"/>
              <w:left w:val="nil"/>
              <w:bottom w:val="single" w:sz="4" w:space="0" w:color="auto"/>
              <w:right w:val="single" w:sz="4" w:space="0" w:color="auto"/>
            </w:tcBorders>
            <w:shd w:val="clear" w:color="auto" w:fill="auto"/>
            <w:noWrap/>
            <w:vAlign w:val="bottom"/>
            <w:hideMark/>
          </w:tcPr>
          <w:p w14:paraId="39552CFC"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4.64%</w:t>
            </w:r>
          </w:p>
        </w:tc>
      </w:tr>
      <w:tr w:rsidR="00C03D6A" w:rsidRPr="00C03D6A" w14:paraId="60802198"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357F26CC"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sciatr</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6A003A3F"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Dark Green Bulrush</w:t>
            </w:r>
          </w:p>
        </w:tc>
        <w:tc>
          <w:tcPr>
            <w:tcW w:w="2795" w:type="dxa"/>
            <w:tcBorders>
              <w:top w:val="nil"/>
              <w:left w:val="nil"/>
              <w:bottom w:val="single" w:sz="4" w:space="0" w:color="auto"/>
              <w:right w:val="single" w:sz="4" w:space="0" w:color="auto"/>
            </w:tcBorders>
            <w:shd w:val="clear" w:color="000000" w:fill="A9D08E"/>
            <w:noWrap/>
            <w:vAlign w:val="bottom"/>
            <w:hideMark/>
          </w:tcPr>
          <w:p w14:paraId="25C7706F"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Scirpus</w:t>
            </w:r>
            <w:proofErr w:type="spellEnd"/>
            <w:r w:rsidRPr="00C03D6A">
              <w:rPr>
                <w:rFonts w:ascii="Arial" w:eastAsia="Times New Roman" w:hAnsi="Arial" w:cs="Arial"/>
                <w:color w:val="000000"/>
                <w:sz w:val="20"/>
                <w:szCs w:val="20"/>
              </w:rPr>
              <w:t xml:space="preserve"> atrovirens</w:t>
            </w:r>
          </w:p>
        </w:tc>
        <w:tc>
          <w:tcPr>
            <w:tcW w:w="717" w:type="dxa"/>
            <w:tcBorders>
              <w:top w:val="nil"/>
              <w:left w:val="nil"/>
              <w:bottom w:val="single" w:sz="4" w:space="0" w:color="auto"/>
              <w:right w:val="single" w:sz="4" w:space="0" w:color="auto"/>
            </w:tcBorders>
            <w:shd w:val="clear" w:color="auto" w:fill="auto"/>
            <w:noWrap/>
            <w:vAlign w:val="bottom"/>
            <w:hideMark/>
          </w:tcPr>
          <w:p w14:paraId="6F311B3A"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0.21</w:t>
            </w:r>
          </w:p>
        </w:tc>
        <w:tc>
          <w:tcPr>
            <w:tcW w:w="1006" w:type="dxa"/>
            <w:tcBorders>
              <w:top w:val="nil"/>
              <w:left w:val="nil"/>
              <w:bottom w:val="single" w:sz="4" w:space="0" w:color="auto"/>
              <w:right w:val="single" w:sz="4" w:space="0" w:color="auto"/>
            </w:tcBorders>
            <w:shd w:val="clear" w:color="auto" w:fill="auto"/>
            <w:noWrap/>
            <w:vAlign w:val="bottom"/>
            <w:hideMark/>
          </w:tcPr>
          <w:p w14:paraId="49EE7628"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0.68%</w:t>
            </w:r>
          </w:p>
        </w:tc>
        <w:tc>
          <w:tcPr>
            <w:tcW w:w="1106" w:type="dxa"/>
            <w:tcBorders>
              <w:top w:val="nil"/>
              <w:left w:val="nil"/>
              <w:bottom w:val="single" w:sz="4" w:space="0" w:color="auto"/>
              <w:right w:val="single" w:sz="4" w:space="0" w:color="auto"/>
            </w:tcBorders>
            <w:shd w:val="clear" w:color="auto" w:fill="auto"/>
            <w:noWrap/>
            <w:vAlign w:val="bottom"/>
            <w:hideMark/>
          </w:tcPr>
          <w:p w14:paraId="5C37C08F"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35.48</w:t>
            </w:r>
          </w:p>
        </w:tc>
        <w:tc>
          <w:tcPr>
            <w:tcW w:w="1106" w:type="dxa"/>
            <w:tcBorders>
              <w:top w:val="nil"/>
              <w:left w:val="nil"/>
              <w:bottom w:val="single" w:sz="4" w:space="0" w:color="auto"/>
              <w:right w:val="single" w:sz="4" w:space="0" w:color="auto"/>
            </w:tcBorders>
            <w:shd w:val="clear" w:color="auto" w:fill="auto"/>
            <w:noWrap/>
            <w:vAlign w:val="bottom"/>
            <w:hideMark/>
          </w:tcPr>
          <w:p w14:paraId="61E31A98"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31.99%</w:t>
            </w:r>
          </w:p>
        </w:tc>
      </w:tr>
      <w:tr w:rsidR="00C03D6A" w:rsidRPr="00C03D6A" w14:paraId="16488DA4"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2E959F09"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scicyp</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3D02D571"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Woolgrass</w:t>
            </w:r>
            <w:proofErr w:type="spellEnd"/>
          </w:p>
        </w:tc>
        <w:tc>
          <w:tcPr>
            <w:tcW w:w="2795" w:type="dxa"/>
            <w:tcBorders>
              <w:top w:val="nil"/>
              <w:left w:val="nil"/>
              <w:bottom w:val="single" w:sz="4" w:space="0" w:color="auto"/>
              <w:right w:val="single" w:sz="4" w:space="0" w:color="auto"/>
            </w:tcBorders>
            <w:shd w:val="clear" w:color="000000" w:fill="A9D08E"/>
            <w:noWrap/>
            <w:vAlign w:val="bottom"/>
            <w:hideMark/>
          </w:tcPr>
          <w:p w14:paraId="30C31A3B"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Scirpus</w:t>
            </w:r>
            <w:proofErr w:type="spellEnd"/>
            <w:r w:rsidRPr="00C03D6A">
              <w:rPr>
                <w:rFonts w:ascii="Arial" w:eastAsia="Times New Roman" w:hAnsi="Arial" w:cs="Arial"/>
                <w:color w:val="000000"/>
                <w:sz w:val="20"/>
                <w:szCs w:val="20"/>
              </w:rPr>
              <w:t xml:space="preserve"> </w:t>
            </w:r>
            <w:proofErr w:type="spellStart"/>
            <w:r w:rsidRPr="00C03D6A">
              <w:rPr>
                <w:rFonts w:ascii="Arial" w:eastAsia="Times New Roman" w:hAnsi="Arial" w:cs="Arial"/>
                <w:color w:val="000000"/>
                <w:sz w:val="20"/>
                <w:szCs w:val="20"/>
              </w:rPr>
              <w:t>cyperinus</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47D21C87"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0.02</w:t>
            </w:r>
          </w:p>
        </w:tc>
        <w:tc>
          <w:tcPr>
            <w:tcW w:w="1006" w:type="dxa"/>
            <w:tcBorders>
              <w:top w:val="nil"/>
              <w:left w:val="nil"/>
              <w:bottom w:val="single" w:sz="4" w:space="0" w:color="auto"/>
              <w:right w:val="single" w:sz="4" w:space="0" w:color="auto"/>
            </w:tcBorders>
            <w:shd w:val="clear" w:color="auto" w:fill="auto"/>
            <w:noWrap/>
            <w:vAlign w:val="bottom"/>
            <w:hideMark/>
          </w:tcPr>
          <w:p w14:paraId="629D51BD"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0.06%</w:t>
            </w:r>
          </w:p>
        </w:tc>
        <w:tc>
          <w:tcPr>
            <w:tcW w:w="1106" w:type="dxa"/>
            <w:tcBorders>
              <w:top w:val="nil"/>
              <w:left w:val="nil"/>
              <w:bottom w:val="single" w:sz="4" w:space="0" w:color="auto"/>
              <w:right w:val="single" w:sz="4" w:space="0" w:color="auto"/>
            </w:tcBorders>
            <w:shd w:val="clear" w:color="auto" w:fill="auto"/>
            <w:noWrap/>
            <w:vAlign w:val="bottom"/>
            <w:hideMark/>
          </w:tcPr>
          <w:p w14:paraId="4855B2AD"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12.49</w:t>
            </w:r>
          </w:p>
        </w:tc>
        <w:tc>
          <w:tcPr>
            <w:tcW w:w="1106" w:type="dxa"/>
            <w:tcBorders>
              <w:top w:val="nil"/>
              <w:left w:val="nil"/>
              <w:bottom w:val="single" w:sz="4" w:space="0" w:color="auto"/>
              <w:right w:val="single" w:sz="4" w:space="0" w:color="auto"/>
            </w:tcBorders>
            <w:shd w:val="clear" w:color="auto" w:fill="auto"/>
            <w:noWrap/>
            <w:vAlign w:val="bottom"/>
            <w:hideMark/>
          </w:tcPr>
          <w:p w14:paraId="1AB469B9"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11.26%</w:t>
            </w:r>
          </w:p>
        </w:tc>
      </w:tr>
      <w:tr w:rsidR="00C03D6A" w:rsidRPr="00C03D6A" w14:paraId="283ED54F" w14:textId="77777777" w:rsidTr="00E821C2">
        <w:trPr>
          <w:trHeight w:val="255"/>
        </w:trPr>
        <w:tc>
          <w:tcPr>
            <w:tcW w:w="939" w:type="dxa"/>
            <w:tcBorders>
              <w:top w:val="nil"/>
              <w:left w:val="single" w:sz="4" w:space="0" w:color="auto"/>
              <w:bottom w:val="single" w:sz="4" w:space="0" w:color="auto"/>
              <w:right w:val="single" w:sz="4" w:space="0" w:color="auto"/>
            </w:tcBorders>
            <w:shd w:val="clear" w:color="000000" w:fill="9BC2E6"/>
            <w:noWrap/>
            <w:vAlign w:val="bottom"/>
            <w:hideMark/>
          </w:tcPr>
          <w:p w14:paraId="786E7F3A"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 </w:t>
            </w:r>
          </w:p>
        </w:tc>
        <w:tc>
          <w:tcPr>
            <w:tcW w:w="2336" w:type="dxa"/>
            <w:tcBorders>
              <w:top w:val="nil"/>
              <w:left w:val="nil"/>
              <w:bottom w:val="single" w:sz="4" w:space="0" w:color="auto"/>
              <w:right w:val="single" w:sz="4" w:space="0" w:color="auto"/>
            </w:tcBorders>
            <w:shd w:val="clear" w:color="000000" w:fill="9BC2E6"/>
            <w:noWrap/>
            <w:vAlign w:val="bottom"/>
            <w:hideMark/>
          </w:tcPr>
          <w:p w14:paraId="4213CC2E"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 </w:t>
            </w:r>
          </w:p>
        </w:tc>
        <w:tc>
          <w:tcPr>
            <w:tcW w:w="2795" w:type="dxa"/>
            <w:tcBorders>
              <w:top w:val="nil"/>
              <w:left w:val="nil"/>
              <w:bottom w:val="single" w:sz="4" w:space="0" w:color="auto"/>
              <w:right w:val="single" w:sz="4" w:space="0" w:color="auto"/>
            </w:tcBorders>
            <w:shd w:val="clear" w:color="000000" w:fill="9BC2E6"/>
            <w:noWrap/>
            <w:vAlign w:val="bottom"/>
            <w:hideMark/>
          </w:tcPr>
          <w:p w14:paraId="0C8CE126"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Sedges &amp; Rushes Subtotal</w:t>
            </w:r>
          </w:p>
        </w:tc>
        <w:tc>
          <w:tcPr>
            <w:tcW w:w="717" w:type="dxa"/>
            <w:tcBorders>
              <w:top w:val="nil"/>
              <w:left w:val="nil"/>
              <w:bottom w:val="single" w:sz="4" w:space="0" w:color="auto"/>
              <w:right w:val="single" w:sz="4" w:space="0" w:color="auto"/>
            </w:tcBorders>
            <w:shd w:val="clear" w:color="000000" w:fill="9BC2E6"/>
            <w:noWrap/>
            <w:vAlign w:val="bottom"/>
            <w:hideMark/>
          </w:tcPr>
          <w:p w14:paraId="13A61984"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0.40</w:t>
            </w:r>
          </w:p>
        </w:tc>
        <w:tc>
          <w:tcPr>
            <w:tcW w:w="1006" w:type="dxa"/>
            <w:tcBorders>
              <w:top w:val="nil"/>
              <w:left w:val="nil"/>
              <w:bottom w:val="single" w:sz="4" w:space="0" w:color="auto"/>
              <w:right w:val="single" w:sz="4" w:space="0" w:color="auto"/>
            </w:tcBorders>
            <w:shd w:val="clear" w:color="000000" w:fill="9BC2E6"/>
            <w:noWrap/>
            <w:vAlign w:val="bottom"/>
            <w:hideMark/>
          </w:tcPr>
          <w:p w14:paraId="662DA4F5"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1.29%</w:t>
            </w:r>
          </w:p>
        </w:tc>
        <w:tc>
          <w:tcPr>
            <w:tcW w:w="1106" w:type="dxa"/>
            <w:tcBorders>
              <w:top w:val="nil"/>
              <w:left w:val="nil"/>
              <w:bottom w:val="single" w:sz="4" w:space="0" w:color="auto"/>
              <w:right w:val="single" w:sz="4" w:space="0" w:color="auto"/>
            </w:tcBorders>
            <w:shd w:val="clear" w:color="000000" w:fill="9BC2E6"/>
            <w:noWrap/>
            <w:vAlign w:val="bottom"/>
            <w:hideMark/>
          </w:tcPr>
          <w:p w14:paraId="001E3A34"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54.04</w:t>
            </w:r>
          </w:p>
        </w:tc>
        <w:tc>
          <w:tcPr>
            <w:tcW w:w="1106" w:type="dxa"/>
            <w:tcBorders>
              <w:top w:val="nil"/>
              <w:left w:val="nil"/>
              <w:bottom w:val="single" w:sz="4" w:space="0" w:color="auto"/>
              <w:right w:val="single" w:sz="4" w:space="0" w:color="auto"/>
            </w:tcBorders>
            <w:shd w:val="clear" w:color="000000" w:fill="9BC2E6"/>
            <w:noWrap/>
            <w:vAlign w:val="bottom"/>
            <w:hideMark/>
          </w:tcPr>
          <w:p w14:paraId="22AB7F49"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48.72%</w:t>
            </w:r>
          </w:p>
        </w:tc>
      </w:tr>
      <w:tr w:rsidR="00C03D6A" w:rsidRPr="00C03D6A" w14:paraId="2C6BA14F"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D8A0BFF"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ascinc</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03FAF661"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Swamp Milkweed</w:t>
            </w:r>
          </w:p>
        </w:tc>
        <w:tc>
          <w:tcPr>
            <w:tcW w:w="2795" w:type="dxa"/>
            <w:tcBorders>
              <w:top w:val="nil"/>
              <w:left w:val="nil"/>
              <w:bottom w:val="single" w:sz="4" w:space="0" w:color="auto"/>
              <w:right w:val="single" w:sz="4" w:space="0" w:color="auto"/>
            </w:tcBorders>
            <w:shd w:val="clear" w:color="000000" w:fill="A9D08E"/>
            <w:noWrap/>
            <w:vAlign w:val="bottom"/>
            <w:hideMark/>
          </w:tcPr>
          <w:p w14:paraId="4DCA9851"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Asclepias incarnata</w:t>
            </w:r>
          </w:p>
        </w:tc>
        <w:tc>
          <w:tcPr>
            <w:tcW w:w="717" w:type="dxa"/>
            <w:tcBorders>
              <w:top w:val="nil"/>
              <w:left w:val="nil"/>
              <w:bottom w:val="single" w:sz="4" w:space="0" w:color="auto"/>
              <w:right w:val="single" w:sz="4" w:space="0" w:color="auto"/>
            </w:tcBorders>
            <w:shd w:val="clear" w:color="auto" w:fill="auto"/>
            <w:noWrap/>
            <w:vAlign w:val="bottom"/>
            <w:hideMark/>
          </w:tcPr>
          <w:p w14:paraId="7042344A"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0.06</w:t>
            </w:r>
          </w:p>
        </w:tc>
        <w:tc>
          <w:tcPr>
            <w:tcW w:w="1006" w:type="dxa"/>
            <w:tcBorders>
              <w:top w:val="nil"/>
              <w:left w:val="nil"/>
              <w:bottom w:val="single" w:sz="4" w:space="0" w:color="auto"/>
              <w:right w:val="single" w:sz="4" w:space="0" w:color="auto"/>
            </w:tcBorders>
            <w:shd w:val="clear" w:color="auto" w:fill="auto"/>
            <w:noWrap/>
            <w:vAlign w:val="bottom"/>
            <w:hideMark/>
          </w:tcPr>
          <w:p w14:paraId="36DCE50F"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0.19%</w:t>
            </w:r>
          </w:p>
        </w:tc>
        <w:tc>
          <w:tcPr>
            <w:tcW w:w="1106" w:type="dxa"/>
            <w:tcBorders>
              <w:top w:val="nil"/>
              <w:left w:val="nil"/>
              <w:bottom w:val="single" w:sz="4" w:space="0" w:color="auto"/>
              <w:right w:val="single" w:sz="4" w:space="0" w:color="auto"/>
            </w:tcBorders>
            <w:shd w:val="clear" w:color="auto" w:fill="auto"/>
            <w:noWrap/>
            <w:vAlign w:val="bottom"/>
            <w:hideMark/>
          </w:tcPr>
          <w:p w14:paraId="534C32C3"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0.11</w:t>
            </w:r>
          </w:p>
        </w:tc>
        <w:tc>
          <w:tcPr>
            <w:tcW w:w="1106" w:type="dxa"/>
            <w:tcBorders>
              <w:top w:val="nil"/>
              <w:left w:val="nil"/>
              <w:bottom w:val="single" w:sz="4" w:space="0" w:color="auto"/>
              <w:right w:val="single" w:sz="4" w:space="0" w:color="auto"/>
            </w:tcBorders>
            <w:shd w:val="clear" w:color="auto" w:fill="auto"/>
            <w:noWrap/>
            <w:vAlign w:val="bottom"/>
            <w:hideMark/>
          </w:tcPr>
          <w:p w14:paraId="2D44332A"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0.10%</w:t>
            </w:r>
          </w:p>
        </w:tc>
      </w:tr>
      <w:tr w:rsidR="00C03D6A" w:rsidRPr="00C03D6A" w14:paraId="61B32576"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38181F61"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bidcer</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10789140"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Nodding Bur Marigold</w:t>
            </w:r>
          </w:p>
        </w:tc>
        <w:tc>
          <w:tcPr>
            <w:tcW w:w="2795" w:type="dxa"/>
            <w:tcBorders>
              <w:top w:val="nil"/>
              <w:left w:val="nil"/>
              <w:bottom w:val="single" w:sz="4" w:space="0" w:color="auto"/>
              <w:right w:val="single" w:sz="4" w:space="0" w:color="auto"/>
            </w:tcBorders>
            <w:shd w:val="clear" w:color="000000" w:fill="A9D08E"/>
            <w:noWrap/>
            <w:vAlign w:val="bottom"/>
            <w:hideMark/>
          </w:tcPr>
          <w:p w14:paraId="7C6902E3"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 xml:space="preserve">Bidens </w:t>
            </w:r>
            <w:proofErr w:type="spellStart"/>
            <w:r w:rsidRPr="00C03D6A">
              <w:rPr>
                <w:rFonts w:ascii="Arial" w:eastAsia="Times New Roman" w:hAnsi="Arial" w:cs="Arial"/>
                <w:color w:val="000000"/>
                <w:sz w:val="20"/>
                <w:szCs w:val="20"/>
              </w:rPr>
              <w:t>cernua</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63A0B8F9"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0.04</w:t>
            </w:r>
          </w:p>
        </w:tc>
        <w:tc>
          <w:tcPr>
            <w:tcW w:w="1006" w:type="dxa"/>
            <w:tcBorders>
              <w:top w:val="nil"/>
              <w:left w:val="nil"/>
              <w:bottom w:val="single" w:sz="4" w:space="0" w:color="auto"/>
              <w:right w:val="single" w:sz="4" w:space="0" w:color="auto"/>
            </w:tcBorders>
            <w:shd w:val="clear" w:color="auto" w:fill="auto"/>
            <w:noWrap/>
            <w:vAlign w:val="bottom"/>
            <w:hideMark/>
          </w:tcPr>
          <w:p w14:paraId="27E501B3"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177EF052"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0.31</w:t>
            </w:r>
          </w:p>
        </w:tc>
        <w:tc>
          <w:tcPr>
            <w:tcW w:w="1106" w:type="dxa"/>
            <w:tcBorders>
              <w:top w:val="nil"/>
              <w:left w:val="nil"/>
              <w:bottom w:val="single" w:sz="4" w:space="0" w:color="auto"/>
              <w:right w:val="single" w:sz="4" w:space="0" w:color="auto"/>
            </w:tcBorders>
            <w:shd w:val="clear" w:color="auto" w:fill="auto"/>
            <w:noWrap/>
            <w:vAlign w:val="bottom"/>
            <w:hideMark/>
          </w:tcPr>
          <w:p w14:paraId="7BD6276B"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0.28%</w:t>
            </w:r>
          </w:p>
        </w:tc>
      </w:tr>
      <w:tr w:rsidR="00C03D6A" w:rsidRPr="00C03D6A" w14:paraId="6C8C4189"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30B107CB"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doeumb</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1284CE1E"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Flat-topped Aster</w:t>
            </w:r>
          </w:p>
        </w:tc>
        <w:tc>
          <w:tcPr>
            <w:tcW w:w="2795" w:type="dxa"/>
            <w:tcBorders>
              <w:top w:val="nil"/>
              <w:left w:val="nil"/>
              <w:bottom w:val="single" w:sz="4" w:space="0" w:color="auto"/>
              <w:right w:val="single" w:sz="4" w:space="0" w:color="auto"/>
            </w:tcBorders>
            <w:shd w:val="clear" w:color="000000" w:fill="A9D08E"/>
            <w:noWrap/>
            <w:vAlign w:val="bottom"/>
            <w:hideMark/>
          </w:tcPr>
          <w:p w14:paraId="0BE4006F"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Doellingeria</w:t>
            </w:r>
            <w:proofErr w:type="spellEnd"/>
            <w:r w:rsidRPr="00C03D6A">
              <w:rPr>
                <w:rFonts w:ascii="Arial" w:eastAsia="Times New Roman" w:hAnsi="Arial" w:cs="Arial"/>
                <w:color w:val="000000"/>
                <w:sz w:val="20"/>
                <w:szCs w:val="20"/>
              </w:rPr>
              <w:t xml:space="preserve"> </w:t>
            </w:r>
            <w:proofErr w:type="spellStart"/>
            <w:r w:rsidRPr="00C03D6A">
              <w:rPr>
                <w:rFonts w:ascii="Arial" w:eastAsia="Times New Roman" w:hAnsi="Arial" w:cs="Arial"/>
                <w:color w:val="000000"/>
                <w:sz w:val="20"/>
                <w:szCs w:val="20"/>
              </w:rPr>
              <w:t>umbellata</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44F16A41"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0.01</w:t>
            </w:r>
          </w:p>
        </w:tc>
        <w:tc>
          <w:tcPr>
            <w:tcW w:w="1006" w:type="dxa"/>
            <w:tcBorders>
              <w:top w:val="nil"/>
              <w:left w:val="nil"/>
              <w:bottom w:val="single" w:sz="4" w:space="0" w:color="auto"/>
              <w:right w:val="single" w:sz="4" w:space="0" w:color="auto"/>
            </w:tcBorders>
            <w:shd w:val="clear" w:color="auto" w:fill="auto"/>
            <w:noWrap/>
            <w:vAlign w:val="bottom"/>
            <w:hideMark/>
          </w:tcPr>
          <w:p w14:paraId="7C8627D6"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0.03%</w:t>
            </w:r>
          </w:p>
        </w:tc>
        <w:tc>
          <w:tcPr>
            <w:tcW w:w="1106" w:type="dxa"/>
            <w:tcBorders>
              <w:top w:val="nil"/>
              <w:left w:val="nil"/>
              <w:bottom w:val="single" w:sz="4" w:space="0" w:color="auto"/>
              <w:right w:val="single" w:sz="4" w:space="0" w:color="auto"/>
            </w:tcBorders>
            <w:shd w:val="clear" w:color="auto" w:fill="auto"/>
            <w:noWrap/>
            <w:vAlign w:val="bottom"/>
            <w:hideMark/>
          </w:tcPr>
          <w:p w14:paraId="41B32FFB"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0.25</w:t>
            </w:r>
          </w:p>
        </w:tc>
        <w:tc>
          <w:tcPr>
            <w:tcW w:w="1106" w:type="dxa"/>
            <w:tcBorders>
              <w:top w:val="nil"/>
              <w:left w:val="nil"/>
              <w:bottom w:val="single" w:sz="4" w:space="0" w:color="auto"/>
              <w:right w:val="single" w:sz="4" w:space="0" w:color="auto"/>
            </w:tcBorders>
            <w:shd w:val="clear" w:color="auto" w:fill="auto"/>
            <w:noWrap/>
            <w:vAlign w:val="bottom"/>
            <w:hideMark/>
          </w:tcPr>
          <w:p w14:paraId="1244981D"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0.22%</w:t>
            </w:r>
          </w:p>
        </w:tc>
      </w:tr>
      <w:tr w:rsidR="00C03D6A" w:rsidRPr="00C03D6A" w14:paraId="64CA3323"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BBB1D07"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eutgra</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345583EA"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Grass-leaved Goldenrod</w:t>
            </w:r>
          </w:p>
        </w:tc>
        <w:tc>
          <w:tcPr>
            <w:tcW w:w="2795" w:type="dxa"/>
            <w:tcBorders>
              <w:top w:val="nil"/>
              <w:left w:val="nil"/>
              <w:bottom w:val="single" w:sz="4" w:space="0" w:color="auto"/>
              <w:right w:val="single" w:sz="4" w:space="0" w:color="auto"/>
            </w:tcBorders>
            <w:shd w:val="clear" w:color="000000" w:fill="A9D08E"/>
            <w:noWrap/>
            <w:vAlign w:val="bottom"/>
            <w:hideMark/>
          </w:tcPr>
          <w:p w14:paraId="4FB270D6"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Euthamia</w:t>
            </w:r>
            <w:proofErr w:type="spellEnd"/>
            <w:r w:rsidRPr="00C03D6A">
              <w:rPr>
                <w:rFonts w:ascii="Arial" w:eastAsia="Times New Roman" w:hAnsi="Arial" w:cs="Arial"/>
                <w:color w:val="000000"/>
                <w:sz w:val="20"/>
                <w:szCs w:val="20"/>
              </w:rPr>
              <w:t xml:space="preserve"> </w:t>
            </w:r>
            <w:proofErr w:type="spellStart"/>
            <w:r w:rsidRPr="00C03D6A">
              <w:rPr>
                <w:rFonts w:ascii="Arial" w:eastAsia="Times New Roman" w:hAnsi="Arial" w:cs="Arial"/>
                <w:color w:val="000000"/>
                <w:sz w:val="20"/>
                <w:szCs w:val="20"/>
              </w:rPr>
              <w:t>gramnifolia</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0B9FB0DD"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0.01</w:t>
            </w:r>
          </w:p>
        </w:tc>
        <w:tc>
          <w:tcPr>
            <w:tcW w:w="1006" w:type="dxa"/>
            <w:tcBorders>
              <w:top w:val="nil"/>
              <w:left w:val="nil"/>
              <w:bottom w:val="single" w:sz="4" w:space="0" w:color="auto"/>
              <w:right w:val="single" w:sz="4" w:space="0" w:color="auto"/>
            </w:tcBorders>
            <w:shd w:val="clear" w:color="auto" w:fill="auto"/>
            <w:noWrap/>
            <w:vAlign w:val="bottom"/>
            <w:hideMark/>
          </w:tcPr>
          <w:p w14:paraId="0850D013"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0.03%</w:t>
            </w:r>
          </w:p>
        </w:tc>
        <w:tc>
          <w:tcPr>
            <w:tcW w:w="1106" w:type="dxa"/>
            <w:tcBorders>
              <w:top w:val="nil"/>
              <w:left w:val="nil"/>
              <w:bottom w:val="single" w:sz="4" w:space="0" w:color="auto"/>
              <w:right w:val="single" w:sz="4" w:space="0" w:color="auto"/>
            </w:tcBorders>
            <w:shd w:val="clear" w:color="auto" w:fill="auto"/>
            <w:noWrap/>
            <w:vAlign w:val="bottom"/>
            <w:hideMark/>
          </w:tcPr>
          <w:p w14:paraId="1F4B2ED0"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1.29</w:t>
            </w:r>
          </w:p>
        </w:tc>
        <w:tc>
          <w:tcPr>
            <w:tcW w:w="1106" w:type="dxa"/>
            <w:tcBorders>
              <w:top w:val="nil"/>
              <w:left w:val="nil"/>
              <w:bottom w:val="single" w:sz="4" w:space="0" w:color="auto"/>
              <w:right w:val="single" w:sz="4" w:space="0" w:color="auto"/>
            </w:tcBorders>
            <w:shd w:val="clear" w:color="auto" w:fill="auto"/>
            <w:noWrap/>
            <w:vAlign w:val="bottom"/>
            <w:hideMark/>
          </w:tcPr>
          <w:p w14:paraId="224FA719"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1.16%</w:t>
            </w:r>
          </w:p>
        </w:tc>
      </w:tr>
      <w:tr w:rsidR="00C03D6A" w:rsidRPr="00C03D6A" w14:paraId="5DA39914"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3C18A360"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eutmac</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184075AA"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Joe Pye Weed</w:t>
            </w:r>
          </w:p>
        </w:tc>
        <w:tc>
          <w:tcPr>
            <w:tcW w:w="2795" w:type="dxa"/>
            <w:tcBorders>
              <w:top w:val="nil"/>
              <w:left w:val="nil"/>
              <w:bottom w:val="single" w:sz="4" w:space="0" w:color="auto"/>
              <w:right w:val="single" w:sz="4" w:space="0" w:color="auto"/>
            </w:tcBorders>
            <w:shd w:val="clear" w:color="000000" w:fill="A9D08E"/>
            <w:noWrap/>
            <w:vAlign w:val="bottom"/>
            <w:hideMark/>
          </w:tcPr>
          <w:p w14:paraId="7BEEC1C9"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Eutrochium</w:t>
            </w:r>
            <w:proofErr w:type="spellEnd"/>
            <w:r w:rsidRPr="00C03D6A">
              <w:rPr>
                <w:rFonts w:ascii="Arial" w:eastAsia="Times New Roman" w:hAnsi="Arial" w:cs="Arial"/>
                <w:color w:val="000000"/>
                <w:sz w:val="20"/>
                <w:szCs w:val="20"/>
              </w:rPr>
              <w:t xml:space="preserve"> maculatum</w:t>
            </w:r>
          </w:p>
        </w:tc>
        <w:tc>
          <w:tcPr>
            <w:tcW w:w="717" w:type="dxa"/>
            <w:tcBorders>
              <w:top w:val="nil"/>
              <w:left w:val="nil"/>
              <w:bottom w:val="single" w:sz="4" w:space="0" w:color="auto"/>
              <w:right w:val="single" w:sz="4" w:space="0" w:color="auto"/>
            </w:tcBorders>
            <w:shd w:val="clear" w:color="auto" w:fill="auto"/>
            <w:noWrap/>
            <w:vAlign w:val="bottom"/>
            <w:hideMark/>
          </w:tcPr>
          <w:p w14:paraId="118D43B8"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0.01</w:t>
            </w:r>
          </w:p>
        </w:tc>
        <w:tc>
          <w:tcPr>
            <w:tcW w:w="1006" w:type="dxa"/>
            <w:tcBorders>
              <w:top w:val="nil"/>
              <w:left w:val="nil"/>
              <w:bottom w:val="single" w:sz="4" w:space="0" w:color="auto"/>
              <w:right w:val="single" w:sz="4" w:space="0" w:color="auto"/>
            </w:tcBorders>
            <w:shd w:val="clear" w:color="auto" w:fill="auto"/>
            <w:noWrap/>
            <w:vAlign w:val="bottom"/>
            <w:hideMark/>
          </w:tcPr>
          <w:p w14:paraId="736B9B85"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0.03%</w:t>
            </w:r>
          </w:p>
        </w:tc>
        <w:tc>
          <w:tcPr>
            <w:tcW w:w="1106" w:type="dxa"/>
            <w:tcBorders>
              <w:top w:val="nil"/>
              <w:left w:val="nil"/>
              <w:bottom w:val="single" w:sz="4" w:space="0" w:color="auto"/>
              <w:right w:val="single" w:sz="4" w:space="0" w:color="auto"/>
            </w:tcBorders>
            <w:shd w:val="clear" w:color="auto" w:fill="auto"/>
            <w:noWrap/>
            <w:vAlign w:val="bottom"/>
            <w:hideMark/>
          </w:tcPr>
          <w:p w14:paraId="023A2792"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0.35</w:t>
            </w:r>
          </w:p>
        </w:tc>
        <w:tc>
          <w:tcPr>
            <w:tcW w:w="1106" w:type="dxa"/>
            <w:tcBorders>
              <w:top w:val="nil"/>
              <w:left w:val="nil"/>
              <w:bottom w:val="single" w:sz="4" w:space="0" w:color="auto"/>
              <w:right w:val="single" w:sz="4" w:space="0" w:color="auto"/>
            </w:tcBorders>
            <w:shd w:val="clear" w:color="auto" w:fill="auto"/>
            <w:noWrap/>
            <w:vAlign w:val="bottom"/>
            <w:hideMark/>
          </w:tcPr>
          <w:p w14:paraId="0C0CAF09"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0.31%</w:t>
            </w:r>
          </w:p>
        </w:tc>
      </w:tr>
      <w:tr w:rsidR="00C03D6A" w:rsidRPr="00C03D6A" w14:paraId="2F192142"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834768F"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helaut</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3FB548DB"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Sneezeweed</w:t>
            </w:r>
          </w:p>
        </w:tc>
        <w:tc>
          <w:tcPr>
            <w:tcW w:w="2795" w:type="dxa"/>
            <w:tcBorders>
              <w:top w:val="nil"/>
              <w:left w:val="nil"/>
              <w:bottom w:val="single" w:sz="4" w:space="0" w:color="auto"/>
              <w:right w:val="single" w:sz="4" w:space="0" w:color="auto"/>
            </w:tcBorders>
            <w:shd w:val="clear" w:color="000000" w:fill="A9D08E"/>
            <w:noWrap/>
            <w:vAlign w:val="bottom"/>
            <w:hideMark/>
          </w:tcPr>
          <w:p w14:paraId="28B8CB88"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 xml:space="preserve">Helenium </w:t>
            </w:r>
            <w:proofErr w:type="spellStart"/>
            <w:r w:rsidRPr="00C03D6A">
              <w:rPr>
                <w:rFonts w:ascii="Arial" w:eastAsia="Times New Roman" w:hAnsi="Arial" w:cs="Arial"/>
                <w:color w:val="000000"/>
                <w:sz w:val="20"/>
                <w:szCs w:val="20"/>
              </w:rPr>
              <w:t>autumnale</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5464EF4E"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0.02</w:t>
            </w:r>
          </w:p>
        </w:tc>
        <w:tc>
          <w:tcPr>
            <w:tcW w:w="1006" w:type="dxa"/>
            <w:tcBorders>
              <w:top w:val="nil"/>
              <w:left w:val="nil"/>
              <w:bottom w:val="single" w:sz="4" w:space="0" w:color="auto"/>
              <w:right w:val="single" w:sz="4" w:space="0" w:color="auto"/>
            </w:tcBorders>
            <w:shd w:val="clear" w:color="auto" w:fill="auto"/>
            <w:noWrap/>
            <w:vAlign w:val="bottom"/>
            <w:hideMark/>
          </w:tcPr>
          <w:p w14:paraId="3F3D6771"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0.06%</w:t>
            </w:r>
          </w:p>
        </w:tc>
        <w:tc>
          <w:tcPr>
            <w:tcW w:w="1106" w:type="dxa"/>
            <w:tcBorders>
              <w:top w:val="nil"/>
              <w:left w:val="nil"/>
              <w:bottom w:val="single" w:sz="4" w:space="0" w:color="auto"/>
              <w:right w:val="single" w:sz="4" w:space="0" w:color="auto"/>
            </w:tcBorders>
            <w:shd w:val="clear" w:color="auto" w:fill="auto"/>
            <w:noWrap/>
            <w:vAlign w:val="bottom"/>
            <w:hideMark/>
          </w:tcPr>
          <w:p w14:paraId="31B6274E"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0.96</w:t>
            </w:r>
          </w:p>
        </w:tc>
        <w:tc>
          <w:tcPr>
            <w:tcW w:w="1106" w:type="dxa"/>
            <w:tcBorders>
              <w:top w:val="nil"/>
              <w:left w:val="nil"/>
              <w:bottom w:val="single" w:sz="4" w:space="0" w:color="auto"/>
              <w:right w:val="single" w:sz="4" w:space="0" w:color="auto"/>
            </w:tcBorders>
            <w:shd w:val="clear" w:color="auto" w:fill="auto"/>
            <w:noWrap/>
            <w:vAlign w:val="bottom"/>
            <w:hideMark/>
          </w:tcPr>
          <w:p w14:paraId="340E993A"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0.86%</w:t>
            </w:r>
          </w:p>
        </w:tc>
      </w:tr>
      <w:tr w:rsidR="00C03D6A" w:rsidRPr="00C03D6A" w14:paraId="70E18460"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721DBCFC"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mimrin</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79E811D8"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Monkey Flower</w:t>
            </w:r>
          </w:p>
        </w:tc>
        <w:tc>
          <w:tcPr>
            <w:tcW w:w="2795" w:type="dxa"/>
            <w:tcBorders>
              <w:top w:val="nil"/>
              <w:left w:val="nil"/>
              <w:bottom w:val="single" w:sz="4" w:space="0" w:color="auto"/>
              <w:right w:val="single" w:sz="4" w:space="0" w:color="auto"/>
            </w:tcBorders>
            <w:shd w:val="clear" w:color="000000" w:fill="A9D08E"/>
            <w:noWrap/>
            <w:vAlign w:val="bottom"/>
            <w:hideMark/>
          </w:tcPr>
          <w:p w14:paraId="570186E0"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 xml:space="preserve">Mimulus </w:t>
            </w:r>
            <w:proofErr w:type="spellStart"/>
            <w:r w:rsidRPr="00C03D6A">
              <w:rPr>
                <w:rFonts w:ascii="Arial" w:eastAsia="Times New Roman" w:hAnsi="Arial" w:cs="Arial"/>
                <w:color w:val="000000"/>
                <w:sz w:val="20"/>
                <w:szCs w:val="20"/>
              </w:rPr>
              <w:t>ringens</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70A01F81"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0.01</w:t>
            </w:r>
          </w:p>
        </w:tc>
        <w:tc>
          <w:tcPr>
            <w:tcW w:w="1006" w:type="dxa"/>
            <w:tcBorders>
              <w:top w:val="nil"/>
              <w:left w:val="nil"/>
              <w:bottom w:val="single" w:sz="4" w:space="0" w:color="auto"/>
              <w:right w:val="single" w:sz="4" w:space="0" w:color="auto"/>
            </w:tcBorders>
            <w:shd w:val="clear" w:color="auto" w:fill="auto"/>
            <w:noWrap/>
            <w:vAlign w:val="bottom"/>
            <w:hideMark/>
          </w:tcPr>
          <w:p w14:paraId="49E599CA"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0.03%</w:t>
            </w:r>
          </w:p>
        </w:tc>
        <w:tc>
          <w:tcPr>
            <w:tcW w:w="1106" w:type="dxa"/>
            <w:tcBorders>
              <w:top w:val="nil"/>
              <w:left w:val="nil"/>
              <w:bottom w:val="single" w:sz="4" w:space="0" w:color="auto"/>
              <w:right w:val="single" w:sz="4" w:space="0" w:color="auto"/>
            </w:tcBorders>
            <w:shd w:val="clear" w:color="auto" w:fill="auto"/>
            <w:noWrap/>
            <w:vAlign w:val="bottom"/>
            <w:hideMark/>
          </w:tcPr>
          <w:p w14:paraId="0849B307"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8.45</w:t>
            </w:r>
          </w:p>
        </w:tc>
        <w:tc>
          <w:tcPr>
            <w:tcW w:w="1106" w:type="dxa"/>
            <w:tcBorders>
              <w:top w:val="nil"/>
              <w:left w:val="nil"/>
              <w:bottom w:val="single" w:sz="4" w:space="0" w:color="auto"/>
              <w:right w:val="single" w:sz="4" w:space="0" w:color="auto"/>
            </w:tcBorders>
            <w:shd w:val="clear" w:color="auto" w:fill="auto"/>
            <w:noWrap/>
            <w:vAlign w:val="bottom"/>
            <w:hideMark/>
          </w:tcPr>
          <w:p w14:paraId="0E65C274"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7.62%</w:t>
            </w:r>
          </w:p>
        </w:tc>
      </w:tr>
      <w:tr w:rsidR="00C03D6A" w:rsidRPr="00C03D6A" w14:paraId="0692C11F"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16A04579"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pycvir</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1D95EA55"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Virginia Mountain Mint</w:t>
            </w:r>
          </w:p>
        </w:tc>
        <w:tc>
          <w:tcPr>
            <w:tcW w:w="2795" w:type="dxa"/>
            <w:tcBorders>
              <w:top w:val="nil"/>
              <w:left w:val="nil"/>
              <w:bottom w:val="single" w:sz="4" w:space="0" w:color="auto"/>
              <w:right w:val="single" w:sz="4" w:space="0" w:color="auto"/>
            </w:tcBorders>
            <w:shd w:val="clear" w:color="000000" w:fill="A9D08E"/>
            <w:noWrap/>
            <w:vAlign w:val="bottom"/>
            <w:hideMark/>
          </w:tcPr>
          <w:p w14:paraId="1B4B7B46"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Pycnanthemum</w:t>
            </w:r>
            <w:proofErr w:type="spellEnd"/>
            <w:r w:rsidRPr="00C03D6A">
              <w:rPr>
                <w:rFonts w:ascii="Arial" w:eastAsia="Times New Roman" w:hAnsi="Arial" w:cs="Arial"/>
                <w:color w:val="000000"/>
                <w:sz w:val="20"/>
                <w:szCs w:val="20"/>
              </w:rPr>
              <w:t xml:space="preserve"> virginianum</w:t>
            </w:r>
          </w:p>
        </w:tc>
        <w:tc>
          <w:tcPr>
            <w:tcW w:w="717" w:type="dxa"/>
            <w:tcBorders>
              <w:top w:val="nil"/>
              <w:left w:val="nil"/>
              <w:bottom w:val="single" w:sz="4" w:space="0" w:color="auto"/>
              <w:right w:val="single" w:sz="4" w:space="0" w:color="auto"/>
            </w:tcBorders>
            <w:shd w:val="clear" w:color="auto" w:fill="auto"/>
            <w:noWrap/>
            <w:vAlign w:val="bottom"/>
            <w:hideMark/>
          </w:tcPr>
          <w:p w14:paraId="39C4EF57"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0.01</w:t>
            </w:r>
          </w:p>
        </w:tc>
        <w:tc>
          <w:tcPr>
            <w:tcW w:w="1006" w:type="dxa"/>
            <w:tcBorders>
              <w:top w:val="nil"/>
              <w:left w:val="nil"/>
              <w:bottom w:val="single" w:sz="4" w:space="0" w:color="auto"/>
              <w:right w:val="single" w:sz="4" w:space="0" w:color="auto"/>
            </w:tcBorders>
            <w:shd w:val="clear" w:color="auto" w:fill="auto"/>
            <w:noWrap/>
            <w:vAlign w:val="bottom"/>
            <w:hideMark/>
          </w:tcPr>
          <w:p w14:paraId="531EBE50"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0.03%</w:t>
            </w:r>
          </w:p>
        </w:tc>
        <w:tc>
          <w:tcPr>
            <w:tcW w:w="1106" w:type="dxa"/>
            <w:tcBorders>
              <w:top w:val="nil"/>
              <w:left w:val="nil"/>
              <w:bottom w:val="single" w:sz="4" w:space="0" w:color="auto"/>
              <w:right w:val="single" w:sz="4" w:space="0" w:color="auto"/>
            </w:tcBorders>
            <w:shd w:val="clear" w:color="auto" w:fill="auto"/>
            <w:noWrap/>
            <w:vAlign w:val="bottom"/>
            <w:hideMark/>
          </w:tcPr>
          <w:p w14:paraId="5D77D781"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0.81</w:t>
            </w:r>
          </w:p>
        </w:tc>
        <w:tc>
          <w:tcPr>
            <w:tcW w:w="1106" w:type="dxa"/>
            <w:tcBorders>
              <w:top w:val="nil"/>
              <w:left w:val="nil"/>
              <w:bottom w:val="single" w:sz="4" w:space="0" w:color="auto"/>
              <w:right w:val="single" w:sz="4" w:space="0" w:color="auto"/>
            </w:tcBorders>
            <w:shd w:val="clear" w:color="auto" w:fill="auto"/>
            <w:noWrap/>
            <w:vAlign w:val="bottom"/>
            <w:hideMark/>
          </w:tcPr>
          <w:p w14:paraId="599364E6"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0.73%</w:t>
            </w:r>
          </w:p>
        </w:tc>
      </w:tr>
      <w:tr w:rsidR="00C03D6A" w:rsidRPr="00C03D6A" w14:paraId="3D332224"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47077583"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soluli</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043405B9"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Bog Goldenrod</w:t>
            </w:r>
          </w:p>
        </w:tc>
        <w:tc>
          <w:tcPr>
            <w:tcW w:w="2795" w:type="dxa"/>
            <w:tcBorders>
              <w:top w:val="nil"/>
              <w:left w:val="nil"/>
              <w:bottom w:val="single" w:sz="4" w:space="0" w:color="auto"/>
              <w:right w:val="single" w:sz="4" w:space="0" w:color="auto"/>
            </w:tcBorders>
            <w:shd w:val="clear" w:color="000000" w:fill="A9D08E"/>
            <w:noWrap/>
            <w:vAlign w:val="bottom"/>
            <w:hideMark/>
          </w:tcPr>
          <w:p w14:paraId="5ACC4998"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 xml:space="preserve">Solidago </w:t>
            </w:r>
            <w:proofErr w:type="spellStart"/>
            <w:r w:rsidRPr="00C03D6A">
              <w:rPr>
                <w:rFonts w:ascii="Arial" w:eastAsia="Times New Roman" w:hAnsi="Arial" w:cs="Arial"/>
                <w:color w:val="000000"/>
                <w:sz w:val="20"/>
                <w:szCs w:val="20"/>
              </w:rPr>
              <w:t>uliginosa</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6A303FAE"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0.01</w:t>
            </w:r>
          </w:p>
        </w:tc>
        <w:tc>
          <w:tcPr>
            <w:tcW w:w="1006" w:type="dxa"/>
            <w:tcBorders>
              <w:top w:val="nil"/>
              <w:left w:val="nil"/>
              <w:bottom w:val="single" w:sz="4" w:space="0" w:color="auto"/>
              <w:right w:val="single" w:sz="4" w:space="0" w:color="auto"/>
            </w:tcBorders>
            <w:shd w:val="clear" w:color="auto" w:fill="auto"/>
            <w:noWrap/>
            <w:vAlign w:val="bottom"/>
            <w:hideMark/>
          </w:tcPr>
          <w:p w14:paraId="5807F2E4"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0.03%</w:t>
            </w:r>
          </w:p>
        </w:tc>
        <w:tc>
          <w:tcPr>
            <w:tcW w:w="1106" w:type="dxa"/>
            <w:tcBorders>
              <w:top w:val="nil"/>
              <w:left w:val="nil"/>
              <w:bottom w:val="single" w:sz="4" w:space="0" w:color="auto"/>
              <w:right w:val="single" w:sz="4" w:space="0" w:color="auto"/>
            </w:tcBorders>
            <w:shd w:val="clear" w:color="auto" w:fill="auto"/>
            <w:noWrap/>
            <w:vAlign w:val="bottom"/>
            <w:hideMark/>
          </w:tcPr>
          <w:p w14:paraId="43FDF842"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0.48</w:t>
            </w:r>
          </w:p>
        </w:tc>
        <w:tc>
          <w:tcPr>
            <w:tcW w:w="1106" w:type="dxa"/>
            <w:tcBorders>
              <w:top w:val="nil"/>
              <w:left w:val="nil"/>
              <w:bottom w:val="single" w:sz="4" w:space="0" w:color="auto"/>
              <w:right w:val="single" w:sz="4" w:space="0" w:color="auto"/>
            </w:tcBorders>
            <w:shd w:val="clear" w:color="auto" w:fill="auto"/>
            <w:noWrap/>
            <w:vAlign w:val="bottom"/>
            <w:hideMark/>
          </w:tcPr>
          <w:p w14:paraId="0129D73E"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0.43%</w:t>
            </w:r>
          </w:p>
        </w:tc>
      </w:tr>
      <w:tr w:rsidR="00C03D6A" w:rsidRPr="00C03D6A" w14:paraId="64F1D864"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DB196E5"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symlan</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50F6B000"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Panicled</w:t>
            </w:r>
            <w:proofErr w:type="spellEnd"/>
            <w:r w:rsidRPr="00C03D6A">
              <w:rPr>
                <w:rFonts w:ascii="Arial" w:eastAsia="Times New Roman" w:hAnsi="Arial" w:cs="Arial"/>
                <w:color w:val="000000"/>
                <w:sz w:val="20"/>
                <w:szCs w:val="20"/>
              </w:rPr>
              <w:t xml:space="preserve"> Aster</w:t>
            </w:r>
          </w:p>
        </w:tc>
        <w:tc>
          <w:tcPr>
            <w:tcW w:w="2795" w:type="dxa"/>
            <w:tcBorders>
              <w:top w:val="nil"/>
              <w:left w:val="nil"/>
              <w:bottom w:val="single" w:sz="4" w:space="0" w:color="auto"/>
              <w:right w:val="single" w:sz="4" w:space="0" w:color="auto"/>
            </w:tcBorders>
            <w:shd w:val="clear" w:color="000000" w:fill="A9D08E"/>
            <w:noWrap/>
            <w:vAlign w:val="bottom"/>
            <w:hideMark/>
          </w:tcPr>
          <w:p w14:paraId="22CABD8E"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Symphyotrichum</w:t>
            </w:r>
            <w:proofErr w:type="spellEnd"/>
            <w:r w:rsidRPr="00C03D6A">
              <w:rPr>
                <w:rFonts w:ascii="Arial" w:eastAsia="Times New Roman" w:hAnsi="Arial" w:cs="Arial"/>
                <w:color w:val="000000"/>
                <w:sz w:val="20"/>
                <w:szCs w:val="20"/>
              </w:rPr>
              <w:t xml:space="preserve"> </w:t>
            </w:r>
            <w:proofErr w:type="spellStart"/>
            <w:r w:rsidRPr="00C03D6A">
              <w:rPr>
                <w:rFonts w:ascii="Arial" w:eastAsia="Times New Roman" w:hAnsi="Arial" w:cs="Arial"/>
                <w:color w:val="000000"/>
                <w:sz w:val="20"/>
                <w:szCs w:val="20"/>
              </w:rPr>
              <w:t>lanceolatum</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56D6A3FC"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0.01</w:t>
            </w:r>
          </w:p>
        </w:tc>
        <w:tc>
          <w:tcPr>
            <w:tcW w:w="1006" w:type="dxa"/>
            <w:tcBorders>
              <w:top w:val="nil"/>
              <w:left w:val="nil"/>
              <w:bottom w:val="single" w:sz="4" w:space="0" w:color="auto"/>
              <w:right w:val="single" w:sz="4" w:space="0" w:color="auto"/>
            </w:tcBorders>
            <w:shd w:val="clear" w:color="auto" w:fill="auto"/>
            <w:noWrap/>
            <w:vAlign w:val="bottom"/>
            <w:hideMark/>
          </w:tcPr>
          <w:p w14:paraId="035DEB9E"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0.03%</w:t>
            </w:r>
          </w:p>
        </w:tc>
        <w:tc>
          <w:tcPr>
            <w:tcW w:w="1106" w:type="dxa"/>
            <w:tcBorders>
              <w:top w:val="nil"/>
              <w:left w:val="nil"/>
              <w:bottom w:val="single" w:sz="4" w:space="0" w:color="auto"/>
              <w:right w:val="single" w:sz="4" w:space="0" w:color="auto"/>
            </w:tcBorders>
            <w:shd w:val="clear" w:color="auto" w:fill="auto"/>
            <w:noWrap/>
            <w:vAlign w:val="bottom"/>
            <w:hideMark/>
          </w:tcPr>
          <w:p w14:paraId="4524C38C"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0.57</w:t>
            </w:r>
          </w:p>
        </w:tc>
        <w:tc>
          <w:tcPr>
            <w:tcW w:w="1106" w:type="dxa"/>
            <w:tcBorders>
              <w:top w:val="nil"/>
              <w:left w:val="nil"/>
              <w:bottom w:val="single" w:sz="4" w:space="0" w:color="auto"/>
              <w:right w:val="single" w:sz="4" w:space="0" w:color="auto"/>
            </w:tcBorders>
            <w:shd w:val="clear" w:color="auto" w:fill="auto"/>
            <w:noWrap/>
            <w:vAlign w:val="bottom"/>
            <w:hideMark/>
          </w:tcPr>
          <w:p w14:paraId="2E6E9FB6"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0.52%</w:t>
            </w:r>
          </w:p>
        </w:tc>
      </w:tr>
      <w:tr w:rsidR="00C03D6A" w:rsidRPr="00C03D6A" w14:paraId="5953D638"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2D0754EA"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verhas</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0D514DA8"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Blue Vervain</w:t>
            </w:r>
          </w:p>
        </w:tc>
        <w:tc>
          <w:tcPr>
            <w:tcW w:w="2795" w:type="dxa"/>
            <w:tcBorders>
              <w:top w:val="nil"/>
              <w:left w:val="nil"/>
              <w:bottom w:val="single" w:sz="4" w:space="0" w:color="auto"/>
              <w:right w:val="single" w:sz="4" w:space="0" w:color="auto"/>
            </w:tcBorders>
            <w:shd w:val="clear" w:color="000000" w:fill="A9D08E"/>
            <w:noWrap/>
            <w:vAlign w:val="bottom"/>
            <w:hideMark/>
          </w:tcPr>
          <w:p w14:paraId="031CE5CD"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Verbena hastata</w:t>
            </w:r>
          </w:p>
        </w:tc>
        <w:tc>
          <w:tcPr>
            <w:tcW w:w="717" w:type="dxa"/>
            <w:tcBorders>
              <w:top w:val="nil"/>
              <w:left w:val="nil"/>
              <w:bottom w:val="single" w:sz="4" w:space="0" w:color="auto"/>
              <w:right w:val="single" w:sz="4" w:space="0" w:color="auto"/>
            </w:tcBorders>
            <w:shd w:val="clear" w:color="auto" w:fill="auto"/>
            <w:noWrap/>
            <w:vAlign w:val="bottom"/>
            <w:hideMark/>
          </w:tcPr>
          <w:p w14:paraId="06A88CB1"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0.01</w:t>
            </w:r>
          </w:p>
        </w:tc>
        <w:tc>
          <w:tcPr>
            <w:tcW w:w="1006" w:type="dxa"/>
            <w:tcBorders>
              <w:top w:val="nil"/>
              <w:left w:val="nil"/>
              <w:bottom w:val="single" w:sz="4" w:space="0" w:color="auto"/>
              <w:right w:val="single" w:sz="4" w:space="0" w:color="auto"/>
            </w:tcBorders>
            <w:shd w:val="clear" w:color="auto" w:fill="auto"/>
            <w:noWrap/>
            <w:vAlign w:val="bottom"/>
            <w:hideMark/>
          </w:tcPr>
          <w:p w14:paraId="0B2A2405"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0.03%</w:t>
            </w:r>
          </w:p>
        </w:tc>
        <w:tc>
          <w:tcPr>
            <w:tcW w:w="1106" w:type="dxa"/>
            <w:tcBorders>
              <w:top w:val="nil"/>
              <w:left w:val="nil"/>
              <w:bottom w:val="single" w:sz="4" w:space="0" w:color="auto"/>
              <w:right w:val="single" w:sz="4" w:space="0" w:color="auto"/>
            </w:tcBorders>
            <w:shd w:val="clear" w:color="auto" w:fill="auto"/>
            <w:noWrap/>
            <w:vAlign w:val="bottom"/>
            <w:hideMark/>
          </w:tcPr>
          <w:p w14:paraId="6AB48362"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0.34</w:t>
            </w:r>
          </w:p>
        </w:tc>
        <w:tc>
          <w:tcPr>
            <w:tcW w:w="1106" w:type="dxa"/>
            <w:tcBorders>
              <w:top w:val="nil"/>
              <w:left w:val="nil"/>
              <w:bottom w:val="single" w:sz="4" w:space="0" w:color="auto"/>
              <w:right w:val="single" w:sz="4" w:space="0" w:color="auto"/>
            </w:tcBorders>
            <w:shd w:val="clear" w:color="auto" w:fill="auto"/>
            <w:noWrap/>
            <w:vAlign w:val="bottom"/>
            <w:hideMark/>
          </w:tcPr>
          <w:p w14:paraId="2A2144A9"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0.31%</w:t>
            </w:r>
          </w:p>
        </w:tc>
      </w:tr>
      <w:tr w:rsidR="00C03D6A" w:rsidRPr="00C03D6A" w14:paraId="6F015D77"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04DFF7C"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zizaur</w:t>
            </w:r>
            <w:proofErr w:type="spellEnd"/>
          </w:p>
        </w:tc>
        <w:tc>
          <w:tcPr>
            <w:tcW w:w="2336" w:type="dxa"/>
            <w:tcBorders>
              <w:top w:val="nil"/>
              <w:left w:val="nil"/>
              <w:bottom w:val="single" w:sz="4" w:space="0" w:color="auto"/>
              <w:right w:val="single" w:sz="4" w:space="0" w:color="auto"/>
            </w:tcBorders>
            <w:shd w:val="clear" w:color="auto" w:fill="auto"/>
            <w:noWrap/>
            <w:vAlign w:val="bottom"/>
            <w:hideMark/>
          </w:tcPr>
          <w:p w14:paraId="4B4EE30E"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Golden Alexanders</w:t>
            </w:r>
          </w:p>
        </w:tc>
        <w:tc>
          <w:tcPr>
            <w:tcW w:w="2795" w:type="dxa"/>
            <w:tcBorders>
              <w:top w:val="nil"/>
              <w:left w:val="nil"/>
              <w:bottom w:val="single" w:sz="4" w:space="0" w:color="auto"/>
              <w:right w:val="single" w:sz="4" w:space="0" w:color="auto"/>
            </w:tcBorders>
            <w:shd w:val="clear" w:color="000000" w:fill="A9D08E"/>
            <w:noWrap/>
            <w:vAlign w:val="bottom"/>
            <w:hideMark/>
          </w:tcPr>
          <w:p w14:paraId="2C6973F8" w14:textId="77777777" w:rsidR="00C03D6A" w:rsidRPr="00C03D6A" w:rsidRDefault="00C03D6A" w:rsidP="00C03D6A">
            <w:pPr>
              <w:rPr>
                <w:rFonts w:ascii="Arial" w:eastAsia="Times New Roman" w:hAnsi="Arial" w:cs="Arial"/>
                <w:color w:val="000000"/>
                <w:sz w:val="20"/>
                <w:szCs w:val="20"/>
              </w:rPr>
            </w:pPr>
            <w:proofErr w:type="spellStart"/>
            <w:r w:rsidRPr="00C03D6A">
              <w:rPr>
                <w:rFonts w:ascii="Arial" w:eastAsia="Times New Roman" w:hAnsi="Arial" w:cs="Arial"/>
                <w:color w:val="000000"/>
                <w:sz w:val="20"/>
                <w:szCs w:val="20"/>
              </w:rPr>
              <w:t>Zizia</w:t>
            </w:r>
            <w:proofErr w:type="spellEnd"/>
            <w:r w:rsidRPr="00C03D6A">
              <w:rPr>
                <w:rFonts w:ascii="Arial" w:eastAsia="Times New Roman" w:hAnsi="Arial" w:cs="Arial"/>
                <w:color w:val="000000"/>
                <w:sz w:val="20"/>
                <w:szCs w:val="20"/>
              </w:rPr>
              <w:t xml:space="preserve"> </w:t>
            </w:r>
            <w:proofErr w:type="spellStart"/>
            <w:r w:rsidRPr="00C03D6A">
              <w:rPr>
                <w:rFonts w:ascii="Arial" w:eastAsia="Times New Roman" w:hAnsi="Arial" w:cs="Arial"/>
                <w:color w:val="000000"/>
                <w:sz w:val="20"/>
                <w:szCs w:val="20"/>
              </w:rPr>
              <w:t>aurea</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6492B7D3"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0.05</w:t>
            </w:r>
          </w:p>
        </w:tc>
        <w:tc>
          <w:tcPr>
            <w:tcW w:w="1006" w:type="dxa"/>
            <w:tcBorders>
              <w:top w:val="nil"/>
              <w:left w:val="nil"/>
              <w:bottom w:val="single" w:sz="4" w:space="0" w:color="auto"/>
              <w:right w:val="single" w:sz="4" w:space="0" w:color="auto"/>
            </w:tcBorders>
            <w:shd w:val="clear" w:color="auto" w:fill="auto"/>
            <w:noWrap/>
            <w:vAlign w:val="bottom"/>
            <w:hideMark/>
          </w:tcPr>
          <w:p w14:paraId="6BA30579"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0.16%</w:t>
            </w:r>
          </w:p>
        </w:tc>
        <w:tc>
          <w:tcPr>
            <w:tcW w:w="1106" w:type="dxa"/>
            <w:tcBorders>
              <w:top w:val="nil"/>
              <w:left w:val="nil"/>
              <w:bottom w:val="single" w:sz="4" w:space="0" w:color="auto"/>
              <w:right w:val="single" w:sz="4" w:space="0" w:color="auto"/>
            </w:tcBorders>
            <w:shd w:val="clear" w:color="auto" w:fill="auto"/>
            <w:noWrap/>
            <w:vAlign w:val="bottom"/>
            <w:hideMark/>
          </w:tcPr>
          <w:p w14:paraId="6815DB68"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0.20</w:t>
            </w:r>
          </w:p>
        </w:tc>
        <w:tc>
          <w:tcPr>
            <w:tcW w:w="1106" w:type="dxa"/>
            <w:tcBorders>
              <w:top w:val="nil"/>
              <w:left w:val="nil"/>
              <w:bottom w:val="single" w:sz="4" w:space="0" w:color="auto"/>
              <w:right w:val="single" w:sz="4" w:space="0" w:color="auto"/>
            </w:tcBorders>
            <w:shd w:val="clear" w:color="auto" w:fill="auto"/>
            <w:noWrap/>
            <w:vAlign w:val="bottom"/>
            <w:hideMark/>
          </w:tcPr>
          <w:p w14:paraId="298F06B7"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0.18%</w:t>
            </w:r>
          </w:p>
        </w:tc>
      </w:tr>
      <w:tr w:rsidR="00C03D6A" w:rsidRPr="00C03D6A" w14:paraId="4E4F6403" w14:textId="77777777" w:rsidTr="00E821C2">
        <w:trPr>
          <w:trHeight w:val="255"/>
        </w:trPr>
        <w:tc>
          <w:tcPr>
            <w:tcW w:w="939" w:type="dxa"/>
            <w:tcBorders>
              <w:top w:val="nil"/>
              <w:left w:val="single" w:sz="4" w:space="0" w:color="auto"/>
              <w:bottom w:val="single" w:sz="4" w:space="0" w:color="auto"/>
              <w:right w:val="single" w:sz="4" w:space="0" w:color="auto"/>
            </w:tcBorders>
            <w:shd w:val="clear" w:color="000000" w:fill="9BC2E6"/>
            <w:noWrap/>
            <w:vAlign w:val="bottom"/>
            <w:hideMark/>
          </w:tcPr>
          <w:p w14:paraId="226B86E8"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 </w:t>
            </w:r>
          </w:p>
        </w:tc>
        <w:tc>
          <w:tcPr>
            <w:tcW w:w="2336" w:type="dxa"/>
            <w:tcBorders>
              <w:top w:val="nil"/>
              <w:left w:val="nil"/>
              <w:bottom w:val="single" w:sz="4" w:space="0" w:color="auto"/>
              <w:right w:val="single" w:sz="4" w:space="0" w:color="auto"/>
            </w:tcBorders>
            <w:shd w:val="clear" w:color="000000" w:fill="9BC2E6"/>
            <w:noWrap/>
            <w:vAlign w:val="bottom"/>
            <w:hideMark/>
          </w:tcPr>
          <w:p w14:paraId="122342AF"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 </w:t>
            </w:r>
          </w:p>
        </w:tc>
        <w:tc>
          <w:tcPr>
            <w:tcW w:w="2795" w:type="dxa"/>
            <w:tcBorders>
              <w:top w:val="nil"/>
              <w:left w:val="nil"/>
              <w:bottom w:val="single" w:sz="4" w:space="0" w:color="auto"/>
              <w:right w:val="single" w:sz="4" w:space="0" w:color="auto"/>
            </w:tcBorders>
            <w:shd w:val="clear" w:color="000000" w:fill="9BC2E6"/>
            <w:noWrap/>
            <w:vAlign w:val="bottom"/>
            <w:hideMark/>
          </w:tcPr>
          <w:p w14:paraId="6DC1E33A"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Forbs Subtotal</w:t>
            </w:r>
          </w:p>
        </w:tc>
        <w:tc>
          <w:tcPr>
            <w:tcW w:w="717" w:type="dxa"/>
            <w:tcBorders>
              <w:top w:val="nil"/>
              <w:left w:val="nil"/>
              <w:bottom w:val="single" w:sz="4" w:space="0" w:color="auto"/>
              <w:right w:val="single" w:sz="4" w:space="0" w:color="auto"/>
            </w:tcBorders>
            <w:shd w:val="clear" w:color="000000" w:fill="9BC2E6"/>
            <w:noWrap/>
            <w:vAlign w:val="bottom"/>
            <w:hideMark/>
          </w:tcPr>
          <w:p w14:paraId="423715FE"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0.25</w:t>
            </w:r>
          </w:p>
        </w:tc>
        <w:tc>
          <w:tcPr>
            <w:tcW w:w="1006" w:type="dxa"/>
            <w:tcBorders>
              <w:top w:val="nil"/>
              <w:left w:val="nil"/>
              <w:bottom w:val="single" w:sz="4" w:space="0" w:color="auto"/>
              <w:right w:val="single" w:sz="4" w:space="0" w:color="auto"/>
            </w:tcBorders>
            <w:shd w:val="clear" w:color="000000" w:fill="9BC2E6"/>
            <w:noWrap/>
            <w:vAlign w:val="bottom"/>
            <w:hideMark/>
          </w:tcPr>
          <w:p w14:paraId="565376BB"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0.80%</w:t>
            </w:r>
          </w:p>
        </w:tc>
        <w:tc>
          <w:tcPr>
            <w:tcW w:w="1106" w:type="dxa"/>
            <w:tcBorders>
              <w:top w:val="nil"/>
              <w:left w:val="nil"/>
              <w:bottom w:val="single" w:sz="4" w:space="0" w:color="auto"/>
              <w:right w:val="single" w:sz="4" w:space="0" w:color="auto"/>
            </w:tcBorders>
            <w:shd w:val="clear" w:color="000000" w:fill="9BC2E6"/>
            <w:noWrap/>
            <w:vAlign w:val="bottom"/>
            <w:hideMark/>
          </w:tcPr>
          <w:p w14:paraId="5AFECC62"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14.10</w:t>
            </w:r>
          </w:p>
        </w:tc>
        <w:tc>
          <w:tcPr>
            <w:tcW w:w="1106" w:type="dxa"/>
            <w:tcBorders>
              <w:top w:val="nil"/>
              <w:left w:val="nil"/>
              <w:bottom w:val="single" w:sz="4" w:space="0" w:color="auto"/>
              <w:right w:val="single" w:sz="4" w:space="0" w:color="auto"/>
            </w:tcBorders>
            <w:shd w:val="clear" w:color="000000" w:fill="9BC2E6"/>
            <w:noWrap/>
            <w:vAlign w:val="bottom"/>
            <w:hideMark/>
          </w:tcPr>
          <w:p w14:paraId="7BF3AD61"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12.71%</w:t>
            </w:r>
          </w:p>
        </w:tc>
      </w:tr>
      <w:tr w:rsidR="00C03D6A" w:rsidRPr="00C03D6A" w14:paraId="10EEDF40" w14:textId="77777777" w:rsidTr="00E821C2">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6BCB801"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cover</w:t>
            </w:r>
          </w:p>
        </w:tc>
        <w:tc>
          <w:tcPr>
            <w:tcW w:w="2336" w:type="dxa"/>
            <w:tcBorders>
              <w:top w:val="nil"/>
              <w:left w:val="nil"/>
              <w:bottom w:val="single" w:sz="4" w:space="0" w:color="auto"/>
              <w:right w:val="single" w:sz="4" w:space="0" w:color="auto"/>
            </w:tcBorders>
            <w:shd w:val="clear" w:color="auto" w:fill="auto"/>
            <w:noWrap/>
            <w:vAlign w:val="bottom"/>
            <w:hideMark/>
          </w:tcPr>
          <w:p w14:paraId="20EBF44D"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Oats/Winter Wheat</w:t>
            </w:r>
          </w:p>
        </w:tc>
        <w:tc>
          <w:tcPr>
            <w:tcW w:w="2795" w:type="dxa"/>
            <w:tcBorders>
              <w:top w:val="nil"/>
              <w:left w:val="nil"/>
              <w:bottom w:val="single" w:sz="4" w:space="0" w:color="auto"/>
              <w:right w:val="single" w:sz="4" w:space="0" w:color="auto"/>
            </w:tcBorders>
            <w:shd w:val="clear" w:color="000000" w:fill="A9D08E"/>
            <w:noWrap/>
            <w:vAlign w:val="bottom"/>
            <w:hideMark/>
          </w:tcPr>
          <w:p w14:paraId="17080411" w14:textId="77777777" w:rsidR="00C03D6A" w:rsidRPr="00C03D6A" w:rsidRDefault="00C03D6A" w:rsidP="00C03D6A">
            <w:pPr>
              <w:rPr>
                <w:rFonts w:ascii="Arial" w:eastAsia="Times New Roman" w:hAnsi="Arial" w:cs="Arial"/>
                <w:color w:val="000000"/>
                <w:sz w:val="20"/>
                <w:szCs w:val="20"/>
              </w:rPr>
            </w:pPr>
            <w:r w:rsidRPr="00C03D6A">
              <w:rPr>
                <w:rFonts w:ascii="Arial" w:eastAsia="Times New Roman" w:hAnsi="Arial" w:cs="Arial"/>
                <w:color w:val="000000"/>
                <w:sz w:val="20"/>
                <w:szCs w:val="20"/>
              </w:rPr>
              <w:t>Avena sativa/Triticum aestivum</w:t>
            </w:r>
          </w:p>
        </w:tc>
        <w:tc>
          <w:tcPr>
            <w:tcW w:w="717" w:type="dxa"/>
            <w:tcBorders>
              <w:top w:val="nil"/>
              <w:left w:val="nil"/>
              <w:bottom w:val="single" w:sz="4" w:space="0" w:color="auto"/>
              <w:right w:val="single" w:sz="4" w:space="0" w:color="auto"/>
            </w:tcBorders>
            <w:shd w:val="clear" w:color="auto" w:fill="auto"/>
            <w:noWrap/>
            <w:vAlign w:val="bottom"/>
            <w:hideMark/>
          </w:tcPr>
          <w:p w14:paraId="2990CEB4"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25.00</w:t>
            </w:r>
          </w:p>
        </w:tc>
        <w:tc>
          <w:tcPr>
            <w:tcW w:w="1006" w:type="dxa"/>
            <w:tcBorders>
              <w:top w:val="nil"/>
              <w:left w:val="nil"/>
              <w:bottom w:val="single" w:sz="4" w:space="0" w:color="auto"/>
              <w:right w:val="single" w:sz="4" w:space="0" w:color="auto"/>
            </w:tcBorders>
            <w:shd w:val="clear" w:color="auto" w:fill="auto"/>
            <w:noWrap/>
            <w:vAlign w:val="bottom"/>
            <w:hideMark/>
          </w:tcPr>
          <w:p w14:paraId="335690A7"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80.39%</w:t>
            </w:r>
          </w:p>
        </w:tc>
        <w:tc>
          <w:tcPr>
            <w:tcW w:w="1106" w:type="dxa"/>
            <w:tcBorders>
              <w:top w:val="nil"/>
              <w:left w:val="nil"/>
              <w:bottom w:val="single" w:sz="4" w:space="0" w:color="auto"/>
              <w:right w:val="single" w:sz="4" w:space="0" w:color="auto"/>
            </w:tcBorders>
            <w:shd w:val="clear" w:color="auto" w:fill="auto"/>
            <w:noWrap/>
            <w:vAlign w:val="bottom"/>
            <w:hideMark/>
          </w:tcPr>
          <w:p w14:paraId="1AF83887"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11.14</w:t>
            </w:r>
          </w:p>
        </w:tc>
        <w:tc>
          <w:tcPr>
            <w:tcW w:w="1106" w:type="dxa"/>
            <w:tcBorders>
              <w:top w:val="nil"/>
              <w:left w:val="nil"/>
              <w:bottom w:val="single" w:sz="4" w:space="0" w:color="auto"/>
              <w:right w:val="single" w:sz="4" w:space="0" w:color="auto"/>
            </w:tcBorders>
            <w:shd w:val="clear" w:color="auto" w:fill="auto"/>
            <w:noWrap/>
            <w:vAlign w:val="bottom"/>
            <w:hideMark/>
          </w:tcPr>
          <w:p w14:paraId="3F9D4F10" w14:textId="77777777" w:rsidR="00C03D6A" w:rsidRPr="00C03D6A" w:rsidRDefault="00C03D6A" w:rsidP="00C03D6A">
            <w:pPr>
              <w:jc w:val="right"/>
              <w:rPr>
                <w:rFonts w:ascii="Arial" w:eastAsia="Times New Roman" w:hAnsi="Arial" w:cs="Arial"/>
                <w:color w:val="000000"/>
                <w:sz w:val="20"/>
                <w:szCs w:val="20"/>
              </w:rPr>
            </w:pPr>
            <w:r w:rsidRPr="00C03D6A">
              <w:rPr>
                <w:rFonts w:ascii="Arial" w:eastAsia="Times New Roman" w:hAnsi="Arial" w:cs="Arial"/>
                <w:color w:val="000000"/>
                <w:sz w:val="20"/>
                <w:szCs w:val="20"/>
              </w:rPr>
              <w:t>10.04%</w:t>
            </w:r>
          </w:p>
        </w:tc>
      </w:tr>
      <w:tr w:rsidR="00C03D6A" w:rsidRPr="00C03D6A" w14:paraId="2020C9D1" w14:textId="77777777" w:rsidTr="00E821C2">
        <w:trPr>
          <w:trHeight w:val="255"/>
        </w:trPr>
        <w:tc>
          <w:tcPr>
            <w:tcW w:w="939" w:type="dxa"/>
            <w:tcBorders>
              <w:top w:val="nil"/>
              <w:left w:val="single" w:sz="4" w:space="0" w:color="auto"/>
              <w:bottom w:val="single" w:sz="4" w:space="0" w:color="auto"/>
              <w:right w:val="single" w:sz="4" w:space="0" w:color="auto"/>
            </w:tcBorders>
            <w:shd w:val="clear" w:color="000000" w:fill="9BC2E6"/>
            <w:noWrap/>
            <w:vAlign w:val="bottom"/>
            <w:hideMark/>
          </w:tcPr>
          <w:p w14:paraId="36F743D6"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lastRenderedPageBreak/>
              <w:t> </w:t>
            </w:r>
          </w:p>
        </w:tc>
        <w:tc>
          <w:tcPr>
            <w:tcW w:w="2336" w:type="dxa"/>
            <w:tcBorders>
              <w:top w:val="nil"/>
              <w:left w:val="nil"/>
              <w:bottom w:val="single" w:sz="4" w:space="0" w:color="auto"/>
              <w:right w:val="single" w:sz="4" w:space="0" w:color="auto"/>
            </w:tcBorders>
            <w:shd w:val="clear" w:color="000000" w:fill="9BC2E6"/>
            <w:noWrap/>
            <w:vAlign w:val="bottom"/>
            <w:hideMark/>
          </w:tcPr>
          <w:p w14:paraId="46F23B50"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 </w:t>
            </w:r>
          </w:p>
        </w:tc>
        <w:tc>
          <w:tcPr>
            <w:tcW w:w="2795" w:type="dxa"/>
            <w:tcBorders>
              <w:top w:val="nil"/>
              <w:left w:val="nil"/>
              <w:bottom w:val="single" w:sz="4" w:space="0" w:color="auto"/>
              <w:right w:val="single" w:sz="4" w:space="0" w:color="auto"/>
            </w:tcBorders>
            <w:shd w:val="clear" w:color="000000" w:fill="9BC2E6"/>
            <w:noWrap/>
            <w:vAlign w:val="bottom"/>
            <w:hideMark/>
          </w:tcPr>
          <w:p w14:paraId="55DA4C58"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Cover Crop Subtotal</w:t>
            </w:r>
          </w:p>
        </w:tc>
        <w:tc>
          <w:tcPr>
            <w:tcW w:w="717" w:type="dxa"/>
            <w:tcBorders>
              <w:top w:val="nil"/>
              <w:left w:val="nil"/>
              <w:bottom w:val="single" w:sz="4" w:space="0" w:color="auto"/>
              <w:right w:val="single" w:sz="4" w:space="0" w:color="auto"/>
            </w:tcBorders>
            <w:shd w:val="clear" w:color="000000" w:fill="9BC2E6"/>
            <w:noWrap/>
            <w:vAlign w:val="bottom"/>
            <w:hideMark/>
          </w:tcPr>
          <w:p w14:paraId="32AFB578"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25.00</w:t>
            </w:r>
          </w:p>
        </w:tc>
        <w:tc>
          <w:tcPr>
            <w:tcW w:w="1006" w:type="dxa"/>
            <w:tcBorders>
              <w:top w:val="nil"/>
              <w:left w:val="nil"/>
              <w:bottom w:val="single" w:sz="4" w:space="0" w:color="auto"/>
              <w:right w:val="single" w:sz="4" w:space="0" w:color="auto"/>
            </w:tcBorders>
            <w:shd w:val="clear" w:color="000000" w:fill="9BC2E6"/>
            <w:noWrap/>
            <w:vAlign w:val="bottom"/>
            <w:hideMark/>
          </w:tcPr>
          <w:p w14:paraId="19D18CD8"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80.39%</w:t>
            </w:r>
          </w:p>
        </w:tc>
        <w:tc>
          <w:tcPr>
            <w:tcW w:w="1106" w:type="dxa"/>
            <w:tcBorders>
              <w:top w:val="nil"/>
              <w:left w:val="nil"/>
              <w:bottom w:val="single" w:sz="4" w:space="0" w:color="auto"/>
              <w:right w:val="single" w:sz="4" w:space="0" w:color="auto"/>
            </w:tcBorders>
            <w:shd w:val="clear" w:color="000000" w:fill="9BC2E6"/>
            <w:noWrap/>
            <w:vAlign w:val="bottom"/>
            <w:hideMark/>
          </w:tcPr>
          <w:p w14:paraId="1715028D"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11.14</w:t>
            </w:r>
          </w:p>
        </w:tc>
        <w:tc>
          <w:tcPr>
            <w:tcW w:w="1106" w:type="dxa"/>
            <w:tcBorders>
              <w:top w:val="nil"/>
              <w:left w:val="nil"/>
              <w:bottom w:val="single" w:sz="4" w:space="0" w:color="auto"/>
              <w:right w:val="single" w:sz="4" w:space="0" w:color="auto"/>
            </w:tcBorders>
            <w:shd w:val="clear" w:color="000000" w:fill="9BC2E6"/>
            <w:noWrap/>
            <w:vAlign w:val="bottom"/>
            <w:hideMark/>
          </w:tcPr>
          <w:p w14:paraId="1C0FAB06"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10.04%</w:t>
            </w:r>
          </w:p>
        </w:tc>
      </w:tr>
      <w:tr w:rsidR="00C03D6A" w:rsidRPr="00C03D6A" w14:paraId="13EE35C9" w14:textId="77777777" w:rsidTr="00E821C2">
        <w:trPr>
          <w:trHeight w:val="255"/>
        </w:trPr>
        <w:tc>
          <w:tcPr>
            <w:tcW w:w="939" w:type="dxa"/>
            <w:tcBorders>
              <w:top w:val="nil"/>
              <w:left w:val="single" w:sz="4" w:space="0" w:color="auto"/>
              <w:bottom w:val="single" w:sz="4" w:space="0" w:color="auto"/>
              <w:right w:val="single" w:sz="4" w:space="0" w:color="auto"/>
            </w:tcBorders>
            <w:shd w:val="clear" w:color="000000" w:fill="9BC2E6"/>
            <w:noWrap/>
            <w:vAlign w:val="bottom"/>
            <w:hideMark/>
          </w:tcPr>
          <w:p w14:paraId="24EB1917"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 </w:t>
            </w:r>
          </w:p>
        </w:tc>
        <w:tc>
          <w:tcPr>
            <w:tcW w:w="2336" w:type="dxa"/>
            <w:tcBorders>
              <w:top w:val="nil"/>
              <w:left w:val="nil"/>
              <w:bottom w:val="single" w:sz="4" w:space="0" w:color="auto"/>
              <w:right w:val="single" w:sz="4" w:space="0" w:color="auto"/>
            </w:tcBorders>
            <w:shd w:val="clear" w:color="000000" w:fill="9BC2E6"/>
            <w:noWrap/>
            <w:vAlign w:val="bottom"/>
            <w:hideMark/>
          </w:tcPr>
          <w:p w14:paraId="6A2E49BD"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 </w:t>
            </w:r>
          </w:p>
        </w:tc>
        <w:tc>
          <w:tcPr>
            <w:tcW w:w="2795" w:type="dxa"/>
            <w:tcBorders>
              <w:top w:val="nil"/>
              <w:left w:val="nil"/>
              <w:bottom w:val="single" w:sz="4" w:space="0" w:color="auto"/>
              <w:right w:val="single" w:sz="4" w:space="0" w:color="auto"/>
            </w:tcBorders>
            <w:shd w:val="clear" w:color="000000" w:fill="9BC2E6"/>
            <w:noWrap/>
            <w:vAlign w:val="bottom"/>
            <w:hideMark/>
          </w:tcPr>
          <w:p w14:paraId="0CCFD551" w14:textId="77777777" w:rsidR="00C03D6A" w:rsidRPr="00C03D6A" w:rsidRDefault="00C03D6A" w:rsidP="00C03D6A">
            <w:pPr>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Total</w:t>
            </w:r>
          </w:p>
        </w:tc>
        <w:tc>
          <w:tcPr>
            <w:tcW w:w="717" w:type="dxa"/>
            <w:tcBorders>
              <w:top w:val="nil"/>
              <w:left w:val="nil"/>
              <w:bottom w:val="single" w:sz="4" w:space="0" w:color="auto"/>
              <w:right w:val="single" w:sz="4" w:space="0" w:color="auto"/>
            </w:tcBorders>
            <w:shd w:val="clear" w:color="000000" w:fill="9BC2E6"/>
            <w:noWrap/>
            <w:vAlign w:val="bottom"/>
            <w:hideMark/>
          </w:tcPr>
          <w:p w14:paraId="1C374F5B"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31.10</w:t>
            </w:r>
          </w:p>
        </w:tc>
        <w:tc>
          <w:tcPr>
            <w:tcW w:w="1006" w:type="dxa"/>
            <w:tcBorders>
              <w:top w:val="nil"/>
              <w:left w:val="nil"/>
              <w:bottom w:val="single" w:sz="4" w:space="0" w:color="auto"/>
              <w:right w:val="single" w:sz="4" w:space="0" w:color="auto"/>
            </w:tcBorders>
            <w:shd w:val="clear" w:color="000000" w:fill="9BC2E6"/>
            <w:noWrap/>
            <w:vAlign w:val="bottom"/>
            <w:hideMark/>
          </w:tcPr>
          <w:p w14:paraId="10EC221D"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100.00%</w:t>
            </w:r>
          </w:p>
        </w:tc>
        <w:tc>
          <w:tcPr>
            <w:tcW w:w="1106" w:type="dxa"/>
            <w:tcBorders>
              <w:top w:val="nil"/>
              <w:left w:val="nil"/>
              <w:bottom w:val="single" w:sz="4" w:space="0" w:color="auto"/>
              <w:right w:val="single" w:sz="4" w:space="0" w:color="auto"/>
            </w:tcBorders>
            <w:shd w:val="clear" w:color="000000" w:fill="9BC2E6"/>
            <w:noWrap/>
            <w:vAlign w:val="bottom"/>
            <w:hideMark/>
          </w:tcPr>
          <w:p w14:paraId="4DE57406"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110.91</w:t>
            </w:r>
          </w:p>
        </w:tc>
        <w:tc>
          <w:tcPr>
            <w:tcW w:w="1106" w:type="dxa"/>
            <w:tcBorders>
              <w:top w:val="nil"/>
              <w:left w:val="nil"/>
              <w:bottom w:val="single" w:sz="4" w:space="0" w:color="auto"/>
              <w:right w:val="single" w:sz="4" w:space="0" w:color="auto"/>
            </w:tcBorders>
            <w:shd w:val="clear" w:color="000000" w:fill="9BC2E6"/>
            <w:noWrap/>
            <w:vAlign w:val="bottom"/>
            <w:hideMark/>
          </w:tcPr>
          <w:p w14:paraId="76A0DA93" w14:textId="77777777" w:rsidR="00C03D6A" w:rsidRPr="00C03D6A" w:rsidRDefault="00C03D6A" w:rsidP="00C03D6A">
            <w:pPr>
              <w:jc w:val="right"/>
              <w:rPr>
                <w:rFonts w:ascii="Arial" w:eastAsia="Times New Roman" w:hAnsi="Arial" w:cs="Arial"/>
                <w:b/>
                <w:bCs/>
                <w:color w:val="000000"/>
                <w:sz w:val="20"/>
                <w:szCs w:val="20"/>
              </w:rPr>
            </w:pPr>
            <w:r w:rsidRPr="00C03D6A">
              <w:rPr>
                <w:rFonts w:ascii="Arial" w:eastAsia="Times New Roman" w:hAnsi="Arial" w:cs="Arial"/>
                <w:b/>
                <w:bCs/>
                <w:color w:val="000000"/>
                <w:sz w:val="20"/>
                <w:szCs w:val="20"/>
              </w:rPr>
              <w:t>100.00%</w:t>
            </w:r>
          </w:p>
        </w:tc>
      </w:tr>
    </w:tbl>
    <w:p w14:paraId="1A8429CD" w14:textId="77777777" w:rsidR="008937B2" w:rsidRDefault="008937B2" w:rsidP="009005F6">
      <w:pPr>
        <w:rPr>
          <w:rFonts w:asciiTheme="majorHAnsi" w:hAnsiTheme="majorHAnsi" w:cstheme="majorHAnsi"/>
          <w:b/>
          <w:bCs/>
          <w:sz w:val="40"/>
          <w:szCs w:val="40"/>
        </w:rPr>
      </w:pPr>
    </w:p>
    <w:p w14:paraId="00CD0B67" w14:textId="77777777" w:rsidR="002C353B" w:rsidRPr="002C353B" w:rsidRDefault="002C353B" w:rsidP="002C353B">
      <w:pPr>
        <w:contextualSpacing/>
        <w:rPr>
          <w:rFonts w:asciiTheme="majorHAnsi" w:eastAsiaTheme="majorEastAsia" w:hAnsiTheme="majorHAnsi" w:cstheme="majorBidi"/>
          <w:noProof/>
          <w:spacing w:val="-10"/>
          <w:kern w:val="28"/>
          <w:sz w:val="56"/>
          <w:szCs w:val="56"/>
        </w:rPr>
      </w:pPr>
      <w:r w:rsidRPr="002C353B">
        <w:rPr>
          <w:rFonts w:asciiTheme="majorHAnsi" w:eastAsiaTheme="majorEastAsia" w:hAnsiTheme="majorHAnsi" w:cstheme="majorBidi"/>
          <w:b/>
          <w:bCs/>
          <w:spacing w:val="-10"/>
          <w:kern w:val="28"/>
          <w:sz w:val="56"/>
          <w:szCs w:val="56"/>
        </w:rPr>
        <w:t>Seed Mix Enhancements or Substitutions</w:t>
      </w:r>
      <w:r w:rsidRPr="002C353B">
        <w:rPr>
          <w:rFonts w:asciiTheme="majorHAnsi" w:eastAsiaTheme="majorEastAsia" w:hAnsiTheme="majorHAnsi" w:cstheme="majorBidi"/>
          <w:noProof/>
          <w:spacing w:val="-10"/>
          <w:kern w:val="28"/>
          <w:sz w:val="56"/>
          <w:szCs w:val="56"/>
        </w:rPr>
        <w:t xml:space="preserve">       </w:t>
      </w:r>
    </w:p>
    <w:p w14:paraId="553B118F" w14:textId="77777777" w:rsidR="002C353B" w:rsidRPr="002C353B" w:rsidRDefault="002C353B" w:rsidP="002C353B">
      <w:pPr>
        <w:contextualSpacing/>
        <w:rPr>
          <w:rFonts w:asciiTheme="majorHAnsi" w:eastAsiaTheme="majorEastAsia" w:hAnsiTheme="majorHAnsi" w:cstheme="majorBidi"/>
          <w:noProof/>
          <w:spacing w:val="-10"/>
          <w:kern w:val="28"/>
          <w:sz w:val="24"/>
          <w:szCs w:val="24"/>
        </w:rPr>
      </w:pPr>
      <w:r w:rsidRPr="002C353B">
        <w:rPr>
          <w:rFonts w:asciiTheme="majorHAnsi" w:eastAsiaTheme="majorEastAsia" w:hAnsiTheme="majorHAnsi" w:cstheme="majorHAnsi"/>
          <w:spacing w:val="-10"/>
          <w:kern w:val="28"/>
          <w:sz w:val="24"/>
          <w:szCs w:val="24"/>
        </w:rPr>
        <w:t xml:space="preserve">List of Additional Species to Add Diversity or for Substitutions </w:t>
      </w:r>
    </w:p>
    <w:p w14:paraId="7ADC46E9" w14:textId="77777777" w:rsidR="00DC2B82" w:rsidRDefault="00DC2B82" w:rsidP="002C353B">
      <w:pPr>
        <w:keepNext/>
        <w:keepLines/>
        <w:spacing w:before="40" w:line="259" w:lineRule="auto"/>
        <w:outlineLvl w:val="1"/>
        <w:rPr>
          <w:rFonts w:asciiTheme="majorHAnsi" w:eastAsiaTheme="majorEastAsia" w:hAnsiTheme="majorHAnsi" w:cstheme="majorBidi"/>
          <w:b/>
          <w:bCs/>
          <w:color w:val="2F5496" w:themeColor="accent1" w:themeShade="BF"/>
          <w:sz w:val="26"/>
          <w:szCs w:val="26"/>
        </w:rPr>
      </w:pPr>
    </w:p>
    <w:p w14:paraId="6A7C007C" w14:textId="7BD02304" w:rsidR="002C353B" w:rsidRPr="002C353B" w:rsidRDefault="002C353B" w:rsidP="002C353B">
      <w:pPr>
        <w:keepNext/>
        <w:keepLines/>
        <w:spacing w:before="40" w:line="259" w:lineRule="auto"/>
        <w:outlineLvl w:val="1"/>
        <w:rPr>
          <w:rFonts w:asciiTheme="majorHAnsi" w:eastAsiaTheme="majorEastAsia" w:hAnsiTheme="majorHAnsi" w:cstheme="majorBidi"/>
          <w:b/>
          <w:bCs/>
          <w:color w:val="2F5496" w:themeColor="accent1" w:themeShade="BF"/>
          <w:sz w:val="26"/>
          <w:szCs w:val="26"/>
        </w:rPr>
      </w:pPr>
      <w:r w:rsidRPr="002C353B">
        <w:rPr>
          <w:rFonts w:asciiTheme="majorHAnsi" w:eastAsiaTheme="majorEastAsia" w:hAnsiTheme="majorHAnsi" w:cstheme="majorBidi"/>
          <w:b/>
          <w:bCs/>
          <w:color w:val="2F5496" w:themeColor="accent1" w:themeShade="BF"/>
          <w:sz w:val="26"/>
          <w:szCs w:val="26"/>
        </w:rPr>
        <w:t>Grasses:</w:t>
      </w:r>
    </w:p>
    <w:tbl>
      <w:tblPr>
        <w:tblStyle w:val="GridTable6Colorful"/>
        <w:tblW w:w="9265" w:type="dxa"/>
        <w:tblLook w:val="04A0" w:firstRow="1" w:lastRow="0" w:firstColumn="1" w:lastColumn="0" w:noHBand="0" w:noVBand="1"/>
      </w:tblPr>
      <w:tblGrid>
        <w:gridCol w:w="4135"/>
        <w:gridCol w:w="5130"/>
      </w:tblGrid>
      <w:tr w:rsidR="00DC2B82" w:rsidRPr="002C353B" w14:paraId="40BC7526" w14:textId="77777777" w:rsidTr="00DC2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22B776E" w14:textId="77777777" w:rsidR="00DC2B82" w:rsidRPr="002C353B" w:rsidRDefault="00DC2B82" w:rsidP="002C353B">
            <w:pPr>
              <w:keepNext/>
              <w:keepLines/>
              <w:spacing w:before="40"/>
              <w:jc w:val="center"/>
              <w:outlineLvl w:val="2"/>
              <w:rPr>
                <w:rFonts w:asciiTheme="majorHAnsi" w:eastAsiaTheme="majorEastAsia" w:hAnsiTheme="majorHAnsi" w:cstheme="majorBidi"/>
                <w:color w:val="1F3763" w:themeColor="accent1" w:themeShade="7F"/>
                <w:sz w:val="24"/>
                <w:szCs w:val="24"/>
              </w:rPr>
            </w:pPr>
            <w:bookmarkStart w:id="2" w:name="_Hlk39066304"/>
            <w:r w:rsidRPr="002C353B">
              <w:rPr>
                <w:rFonts w:asciiTheme="majorHAnsi" w:eastAsiaTheme="majorEastAsia" w:hAnsiTheme="majorHAnsi" w:cstheme="majorBidi"/>
                <w:sz w:val="24"/>
                <w:szCs w:val="24"/>
              </w:rPr>
              <w:t>Scientific Name</w:t>
            </w:r>
          </w:p>
        </w:tc>
        <w:tc>
          <w:tcPr>
            <w:tcW w:w="5130" w:type="dxa"/>
          </w:tcPr>
          <w:p w14:paraId="48917D65" w14:textId="77777777" w:rsidR="00DC2B82" w:rsidRPr="002C353B" w:rsidRDefault="00DC2B82" w:rsidP="002C353B">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4"/>
                <w:szCs w:val="24"/>
              </w:rPr>
            </w:pPr>
            <w:r w:rsidRPr="002C353B">
              <w:rPr>
                <w:rFonts w:asciiTheme="majorHAnsi" w:eastAsiaTheme="majorEastAsia" w:hAnsiTheme="majorHAnsi" w:cstheme="majorBidi"/>
                <w:sz w:val="24"/>
                <w:szCs w:val="24"/>
              </w:rPr>
              <w:t>Common Name</w:t>
            </w:r>
          </w:p>
        </w:tc>
      </w:tr>
      <w:tr w:rsidR="00DC2B82" w:rsidRPr="002C353B" w14:paraId="18335457" w14:textId="77777777" w:rsidTr="00DC2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18E71317" w14:textId="77777777" w:rsidR="00DC2B82" w:rsidRPr="002C353B" w:rsidRDefault="00DC2B82" w:rsidP="002C353B">
            <w:pPr>
              <w:rPr>
                <w:rFonts w:asciiTheme="minorHAnsi" w:hAnsiTheme="minorHAnsi" w:cstheme="minorBidi"/>
                <w:i/>
                <w:iCs/>
                <w:color w:val="C00000"/>
              </w:rPr>
            </w:pPr>
            <w:r w:rsidRPr="002C353B">
              <w:rPr>
                <w:rFonts w:asciiTheme="minorHAnsi" w:hAnsiTheme="minorHAnsi" w:cstheme="minorBidi"/>
                <w:i/>
                <w:iCs/>
              </w:rPr>
              <w:t>Bromus pubescens</w:t>
            </w:r>
          </w:p>
        </w:tc>
        <w:tc>
          <w:tcPr>
            <w:tcW w:w="5130" w:type="dxa"/>
          </w:tcPr>
          <w:p w14:paraId="73D41C7D" w14:textId="77777777" w:rsidR="00DC2B82" w:rsidRPr="002C353B" w:rsidRDefault="00DC2B82" w:rsidP="002C35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Hairy Wood Chess</w:t>
            </w:r>
          </w:p>
        </w:tc>
      </w:tr>
      <w:tr w:rsidR="00DC2B82" w:rsidRPr="002C353B" w14:paraId="2F3010B3" w14:textId="77777777" w:rsidTr="00DC2B82">
        <w:tc>
          <w:tcPr>
            <w:cnfStyle w:val="001000000000" w:firstRow="0" w:lastRow="0" w:firstColumn="1" w:lastColumn="0" w:oddVBand="0" w:evenVBand="0" w:oddHBand="0" w:evenHBand="0" w:firstRowFirstColumn="0" w:firstRowLastColumn="0" w:lastRowFirstColumn="0" w:lastRowLastColumn="0"/>
            <w:tcW w:w="4135" w:type="dxa"/>
          </w:tcPr>
          <w:p w14:paraId="04373E03" w14:textId="77777777" w:rsidR="00DC2B82" w:rsidRPr="002C353B" w:rsidRDefault="00DC2B82" w:rsidP="002C353B">
            <w:pPr>
              <w:rPr>
                <w:rFonts w:asciiTheme="minorHAnsi" w:hAnsiTheme="minorHAnsi" w:cstheme="minorBidi"/>
                <w:i/>
                <w:iCs/>
              </w:rPr>
            </w:pPr>
            <w:r w:rsidRPr="002C353B">
              <w:rPr>
                <w:rFonts w:asciiTheme="minorHAnsi" w:hAnsiTheme="minorHAnsi" w:cstheme="minorBidi"/>
                <w:i/>
                <w:iCs/>
              </w:rPr>
              <w:t>Calamagrostis stricta (2,5,8,9)</w:t>
            </w:r>
          </w:p>
        </w:tc>
        <w:tc>
          <w:tcPr>
            <w:tcW w:w="5130" w:type="dxa"/>
          </w:tcPr>
          <w:p w14:paraId="5652B99A" w14:textId="77777777" w:rsidR="00DC2B82" w:rsidRPr="002C353B" w:rsidRDefault="00DC2B82" w:rsidP="002C3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Narrow </w:t>
            </w:r>
            <w:proofErr w:type="spellStart"/>
            <w:r w:rsidRPr="002C353B">
              <w:rPr>
                <w:rFonts w:asciiTheme="minorHAnsi" w:hAnsiTheme="minorHAnsi" w:cstheme="minorBidi"/>
              </w:rPr>
              <w:t>Reedgrass</w:t>
            </w:r>
            <w:proofErr w:type="spellEnd"/>
          </w:p>
        </w:tc>
      </w:tr>
      <w:tr w:rsidR="00DC2B82" w:rsidRPr="002C353B" w14:paraId="218B4D49" w14:textId="77777777" w:rsidTr="00DC2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61FD65B6" w14:textId="77777777" w:rsidR="00DC2B82" w:rsidRPr="002C353B" w:rsidRDefault="00DC2B82" w:rsidP="002C353B">
            <w:pPr>
              <w:rPr>
                <w:rFonts w:asciiTheme="minorHAnsi" w:hAnsiTheme="minorHAnsi" w:cstheme="minorBidi"/>
                <w:i/>
                <w:iCs/>
              </w:rPr>
            </w:pPr>
            <w:r w:rsidRPr="002C353B">
              <w:rPr>
                <w:rFonts w:asciiTheme="minorHAnsi" w:hAnsiTheme="minorHAnsi" w:cstheme="minorBidi"/>
                <w:i/>
                <w:iCs/>
              </w:rPr>
              <w:t>Elymus </w:t>
            </w:r>
            <w:proofErr w:type="spellStart"/>
            <w:r w:rsidRPr="002C353B">
              <w:rPr>
                <w:rFonts w:asciiTheme="minorHAnsi" w:hAnsiTheme="minorHAnsi" w:cstheme="minorBidi"/>
                <w:i/>
                <w:iCs/>
              </w:rPr>
              <w:t>riparius</w:t>
            </w:r>
            <w:proofErr w:type="spellEnd"/>
          </w:p>
        </w:tc>
        <w:tc>
          <w:tcPr>
            <w:tcW w:w="5130" w:type="dxa"/>
          </w:tcPr>
          <w:p w14:paraId="5133EA48" w14:textId="77777777" w:rsidR="00DC2B82" w:rsidRPr="002C353B" w:rsidRDefault="00DC2B82" w:rsidP="002C35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Riverbank Wild Rye</w:t>
            </w:r>
          </w:p>
        </w:tc>
      </w:tr>
      <w:tr w:rsidR="00DC2B82" w:rsidRPr="002C353B" w14:paraId="005B1441" w14:textId="77777777" w:rsidTr="00DC2B82">
        <w:tc>
          <w:tcPr>
            <w:cnfStyle w:val="001000000000" w:firstRow="0" w:lastRow="0" w:firstColumn="1" w:lastColumn="0" w:oddVBand="0" w:evenVBand="0" w:oddHBand="0" w:evenHBand="0" w:firstRowFirstColumn="0" w:firstRowLastColumn="0" w:lastRowFirstColumn="0" w:lastRowLastColumn="0"/>
            <w:tcW w:w="4135" w:type="dxa"/>
          </w:tcPr>
          <w:p w14:paraId="78209CEB" w14:textId="77777777" w:rsidR="00DC2B82" w:rsidRPr="002C353B" w:rsidRDefault="00DC2B82" w:rsidP="002C353B">
            <w:pPr>
              <w:rPr>
                <w:rFonts w:asciiTheme="minorHAnsi" w:hAnsiTheme="minorHAnsi" w:cstheme="minorBidi"/>
                <w:i/>
                <w:iCs/>
                <w:color w:val="C00000"/>
              </w:rPr>
            </w:pPr>
            <w:r w:rsidRPr="002C353B">
              <w:rPr>
                <w:rFonts w:asciiTheme="minorHAnsi" w:hAnsiTheme="minorHAnsi" w:cstheme="minorBidi"/>
                <w:i/>
                <w:iCs/>
              </w:rPr>
              <w:t>Elymus villosus</w:t>
            </w:r>
          </w:p>
        </w:tc>
        <w:tc>
          <w:tcPr>
            <w:tcW w:w="5130" w:type="dxa"/>
          </w:tcPr>
          <w:p w14:paraId="1630D471" w14:textId="77777777" w:rsidR="00DC2B82" w:rsidRPr="002C353B" w:rsidRDefault="00DC2B82" w:rsidP="002C3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Downy Wild Rye</w:t>
            </w:r>
          </w:p>
        </w:tc>
      </w:tr>
      <w:tr w:rsidR="00DC2B82" w:rsidRPr="002C353B" w14:paraId="1B0E3C7B" w14:textId="77777777" w:rsidTr="00DC2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124A667" w14:textId="77777777" w:rsidR="00DC2B82" w:rsidRPr="002C353B" w:rsidRDefault="00DC2B82" w:rsidP="002C353B">
            <w:pPr>
              <w:rPr>
                <w:rFonts w:asciiTheme="minorHAnsi" w:hAnsiTheme="minorHAnsi" w:cstheme="minorBidi"/>
                <w:i/>
                <w:iCs/>
                <w:color w:val="C00000"/>
              </w:rPr>
            </w:pPr>
            <w:proofErr w:type="spellStart"/>
            <w:r w:rsidRPr="002C353B">
              <w:rPr>
                <w:rFonts w:asciiTheme="minorHAnsi" w:hAnsiTheme="minorHAnsi" w:cstheme="minorBidi"/>
                <w:i/>
                <w:iCs/>
              </w:rPr>
              <w:t>Glyceria</w:t>
            </w:r>
            <w:proofErr w:type="spellEnd"/>
            <w:r w:rsidRPr="002C353B">
              <w:rPr>
                <w:rFonts w:asciiTheme="minorHAnsi" w:hAnsiTheme="minorHAnsi" w:cstheme="minorBidi"/>
                <w:i/>
                <w:iCs/>
              </w:rPr>
              <w:t> striata</w:t>
            </w:r>
          </w:p>
        </w:tc>
        <w:tc>
          <w:tcPr>
            <w:tcW w:w="5130" w:type="dxa"/>
          </w:tcPr>
          <w:p w14:paraId="36109E61" w14:textId="77777777" w:rsidR="00DC2B82" w:rsidRPr="002C353B" w:rsidRDefault="00DC2B82" w:rsidP="002C35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Fowl Manna Grass</w:t>
            </w:r>
          </w:p>
        </w:tc>
      </w:tr>
      <w:tr w:rsidR="00DC2B82" w:rsidRPr="002C353B" w14:paraId="1506EA67" w14:textId="77777777" w:rsidTr="00DC2B82">
        <w:tc>
          <w:tcPr>
            <w:cnfStyle w:val="001000000000" w:firstRow="0" w:lastRow="0" w:firstColumn="1" w:lastColumn="0" w:oddVBand="0" w:evenVBand="0" w:oddHBand="0" w:evenHBand="0" w:firstRowFirstColumn="0" w:firstRowLastColumn="0" w:lastRowFirstColumn="0" w:lastRowLastColumn="0"/>
            <w:tcW w:w="4135" w:type="dxa"/>
          </w:tcPr>
          <w:p w14:paraId="0C32EE2A" w14:textId="77777777" w:rsidR="00DC2B82" w:rsidRPr="002C353B" w:rsidRDefault="00DC2B82" w:rsidP="002C353B">
            <w:pPr>
              <w:rPr>
                <w:i/>
                <w:iCs/>
                <w:color w:val="C00000"/>
              </w:rPr>
            </w:pPr>
            <w:proofErr w:type="spellStart"/>
            <w:r w:rsidRPr="002C353B">
              <w:rPr>
                <w:rFonts w:asciiTheme="minorHAnsi" w:hAnsiTheme="minorHAnsi" w:cstheme="minorBidi"/>
                <w:i/>
                <w:iCs/>
              </w:rPr>
              <w:t>Leersia</w:t>
            </w:r>
            <w:proofErr w:type="spellEnd"/>
            <w:r w:rsidRPr="002C353B">
              <w:rPr>
                <w:rFonts w:asciiTheme="minorHAnsi" w:hAnsiTheme="minorHAnsi" w:cstheme="minorBidi"/>
                <w:i/>
                <w:iCs/>
              </w:rPr>
              <w:t> </w:t>
            </w:r>
            <w:proofErr w:type="spellStart"/>
            <w:r w:rsidRPr="002C353B">
              <w:rPr>
                <w:rFonts w:asciiTheme="minorHAnsi" w:hAnsiTheme="minorHAnsi" w:cstheme="minorBidi"/>
                <w:i/>
                <w:iCs/>
              </w:rPr>
              <w:t>oryzoides</w:t>
            </w:r>
            <w:proofErr w:type="spellEnd"/>
          </w:p>
        </w:tc>
        <w:tc>
          <w:tcPr>
            <w:tcW w:w="5130" w:type="dxa"/>
          </w:tcPr>
          <w:p w14:paraId="18E76C92" w14:textId="77777777" w:rsidR="00DC2B82" w:rsidRPr="002C353B" w:rsidRDefault="00DC2B82" w:rsidP="002C353B">
            <w:pPr>
              <w:cnfStyle w:val="000000000000" w:firstRow="0" w:lastRow="0" w:firstColumn="0" w:lastColumn="0" w:oddVBand="0" w:evenVBand="0" w:oddHBand="0" w:evenHBand="0" w:firstRowFirstColumn="0" w:firstRowLastColumn="0" w:lastRowFirstColumn="0" w:lastRowLastColumn="0"/>
            </w:pPr>
            <w:r w:rsidRPr="002C353B">
              <w:t>Rice Cutgrass</w:t>
            </w:r>
          </w:p>
        </w:tc>
      </w:tr>
      <w:tr w:rsidR="00DC2B82" w:rsidRPr="002C353B" w14:paraId="56536C0D" w14:textId="77777777" w:rsidTr="00DC2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55B3D2C" w14:textId="77777777" w:rsidR="00DC2B82" w:rsidRPr="002C353B" w:rsidRDefault="00DC2B82" w:rsidP="002C353B">
            <w:pPr>
              <w:rPr>
                <w:rFonts w:asciiTheme="minorHAnsi" w:hAnsiTheme="minorHAnsi" w:cstheme="minorBidi"/>
                <w:i/>
                <w:iCs/>
                <w:color w:val="C00000"/>
              </w:rPr>
            </w:pPr>
            <w:r w:rsidRPr="002C353B">
              <w:rPr>
                <w:rFonts w:asciiTheme="minorHAnsi" w:hAnsiTheme="minorHAnsi" w:cstheme="minorBidi"/>
                <w:i/>
                <w:iCs/>
              </w:rPr>
              <w:t>Muhlenbergia glomerata</w:t>
            </w:r>
          </w:p>
        </w:tc>
        <w:tc>
          <w:tcPr>
            <w:tcW w:w="5130" w:type="dxa"/>
          </w:tcPr>
          <w:p w14:paraId="58469876" w14:textId="77777777" w:rsidR="00DC2B82" w:rsidRPr="002C353B" w:rsidRDefault="00DC2B82" w:rsidP="002C35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Clustered Muhly Grass</w:t>
            </w:r>
          </w:p>
        </w:tc>
      </w:tr>
      <w:tr w:rsidR="00DC2B82" w:rsidRPr="002C353B" w14:paraId="72E1D088" w14:textId="77777777" w:rsidTr="00DC2B82">
        <w:tc>
          <w:tcPr>
            <w:cnfStyle w:val="001000000000" w:firstRow="0" w:lastRow="0" w:firstColumn="1" w:lastColumn="0" w:oddVBand="0" w:evenVBand="0" w:oddHBand="0" w:evenHBand="0" w:firstRowFirstColumn="0" w:firstRowLastColumn="0" w:lastRowFirstColumn="0" w:lastRowLastColumn="0"/>
            <w:tcW w:w="4135" w:type="dxa"/>
          </w:tcPr>
          <w:p w14:paraId="59650663" w14:textId="77777777" w:rsidR="00DC2B82" w:rsidRPr="002C353B" w:rsidRDefault="00DC2B82" w:rsidP="002C353B">
            <w:pPr>
              <w:rPr>
                <w:rFonts w:asciiTheme="minorHAnsi" w:hAnsiTheme="minorHAnsi" w:cstheme="minorBidi"/>
                <w:i/>
                <w:iCs/>
                <w:color w:val="C00000"/>
              </w:rPr>
            </w:pPr>
            <w:r w:rsidRPr="002C353B">
              <w:rPr>
                <w:rFonts w:asciiTheme="minorHAnsi" w:hAnsiTheme="minorHAnsi" w:cstheme="minorBidi"/>
                <w:i/>
                <w:iCs/>
              </w:rPr>
              <w:t>Panicum virgatum (3,4,7‐9)</w:t>
            </w:r>
          </w:p>
        </w:tc>
        <w:tc>
          <w:tcPr>
            <w:tcW w:w="5130" w:type="dxa"/>
          </w:tcPr>
          <w:p w14:paraId="13B2F1BD" w14:textId="77777777" w:rsidR="00DC2B82" w:rsidRPr="002C353B" w:rsidRDefault="00DC2B82" w:rsidP="002C3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Switchgrass</w:t>
            </w:r>
          </w:p>
        </w:tc>
      </w:tr>
      <w:tr w:rsidR="00DC2B82" w:rsidRPr="002C353B" w14:paraId="10A48E3C" w14:textId="77777777" w:rsidTr="00DC2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C09D68F" w14:textId="77777777" w:rsidR="00DC2B82" w:rsidRPr="002C353B" w:rsidRDefault="00DC2B82" w:rsidP="002C353B">
            <w:pPr>
              <w:rPr>
                <w:rFonts w:asciiTheme="minorHAnsi" w:hAnsiTheme="minorHAnsi" w:cstheme="minorBidi"/>
                <w:i/>
                <w:iCs/>
                <w:color w:val="C00000"/>
              </w:rPr>
            </w:pPr>
            <w:proofErr w:type="spellStart"/>
            <w:r w:rsidRPr="002C353B">
              <w:rPr>
                <w:rFonts w:asciiTheme="minorHAnsi" w:hAnsiTheme="minorHAnsi" w:cstheme="minorBidi"/>
                <w:i/>
                <w:iCs/>
              </w:rPr>
              <w:t>Sorghastrum</w:t>
            </w:r>
            <w:proofErr w:type="spellEnd"/>
            <w:r w:rsidRPr="002C353B">
              <w:rPr>
                <w:rFonts w:asciiTheme="minorHAnsi" w:hAnsiTheme="minorHAnsi" w:cstheme="minorBidi"/>
                <w:i/>
                <w:iCs/>
              </w:rPr>
              <w:t> nutans</w:t>
            </w:r>
          </w:p>
        </w:tc>
        <w:tc>
          <w:tcPr>
            <w:tcW w:w="5130" w:type="dxa"/>
          </w:tcPr>
          <w:p w14:paraId="00790E2F" w14:textId="77777777" w:rsidR="00DC2B82" w:rsidRPr="002C353B" w:rsidRDefault="00DC2B82" w:rsidP="002C35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Indian Grass</w:t>
            </w:r>
          </w:p>
        </w:tc>
      </w:tr>
      <w:bookmarkEnd w:id="2"/>
    </w:tbl>
    <w:p w14:paraId="13F14AB9" w14:textId="77777777" w:rsidR="002C353B" w:rsidRPr="002C353B" w:rsidRDefault="002C353B" w:rsidP="002C353B">
      <w:pPr>
        <w:spacing w:after="160" w:line="259" w:lineRule="auto"/>
        <w:rPr>
          <w:rFonts w:asciiTheme="minorHAnsi" w:hAnsiTheme="minorHAnsi" w:cstheme="minorBidi"/>
        </w:rPr>
      </w:pPr>
    </w:p>
    <w:p w14:paraId="2ACC5427" w14:textId="77777777" w:rsidR="002C353B" w:rsidRPr="002C353B" w:rsidRDefault="002C353B" w:rsidP="002C353B">
      <w:pPr>
        <w:keepNext/>
        <w:keepLines/>
        <w:spacing w:before="40" w:line="259" w:lineRule="auto"/>
        <w:outlineLvl w:val="1"/>
        <w:rPr>
          <w:rFonts w:asciiTheme="majorHAnsi" w:eastAsiaTheme="majorEastAsia" w:hAnsiTheme="majorHAnsi" w:cstheme="majorBidi"/>
          <w:b/>
          <w:bCs/>
          <w:color w:val="2F5496" w:themeColor="accent1" w:themeShade="BF"/>
          <w:sz w:val="26"/>
          <w:szCs w:val="26"/>
        </w:rPr>
      </w:pPr>
      <w:r w:rsidRPr="002C353B">
        <w:rPr>
          <w:rFonts w:asciiTheme="majorHAnsi" w:eastAsiaTheme="majorEastAsia" w:hAnsiTheme="majorHAnsi" w:cstheme="majorBidi"/>
          <w:b/>
          <w:bCs/>
          <w:color w:val="2F5496" w:themeColor="accent1" w:themeShade="BF"/>
          <w:sz w:val="26"/>
          <w:szCs w:val="26"/>
        </w:rPr>
        <w:t>Forbs:</w:t>
      </w:r>
    </w:p>
    <w:tbl>
      <w:tblPr>
        <w:tblStyle w:val="GridTable6Colorful"/>
        <w:tblW w:w="9265" w:type="dxa"/>
        <w:tblLook w:val="04A0" w:firstRow="1" w:lastRow="0" w:firstColumn="1" w:lastColumn="0" w:noHBand="0" w:noVBand="1"/>
      </w:tblPr>
      <w:tblGrid>
        <w:gridCol w:w="4135"/>
        <w:gridCol w:w="5130"/>
      </w:tblGrid>
      <w:tr w:rsidR="00DC2B82" w:rsidRPr="002C353B" w14:paraId="3E0C1E3F" w14:textId="77777777" w:rsidTr="00DC2B82">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135" w:type="dxa"/>
          </w:tcPr>
          <w:p w14:paraId="7BC537CD" w14:textId="77777777" w:rsidR="00DC2B82" w:rsidRPr="002C353B" w:rsidRDefault="00DC2B82" w:rsidP="002C353B">
            <w:pPr>
              <w:keepNext/>
              <w:keepLines/>
              <w:spacing w:before="40"/>
              <w:jc w:val="center"/>
              <w:outlineLvl w:val="2"/>
              <w:rPr>
                <w:rFonts w:asciiTheme="majorHAnsi" w:eastAsiaTheme="majorEastAsia" w:hAnsiTheme="majorHAnsi" w:cstheme="majorBidi"/>
                <w:sz w:val="24"/>
                <w:szCs w:val="24"/>
              </w:rPr>
            </w:pPr>
            <w:bookmarkStart w:id="3" w:name="_Hlk39067721"/>
            <w:r w:rsidRPr="002C353B">
              <w:rPr>
                <w:rFonts w:asciiTheme="majorHAnsi" w:eastAsiaTheme="majorEastAsia" w:hAnsiTheme="majorHAnsi" w:cstheme="majorBidi"/>
                <w:sz w:val="24"/>
                <w:szCs w:val="24"/>
              </w:rPr>
              <w:t>Scientific Name</w:t>
            </w:r>
          </w:p>
        </w:tc>
        <w:tc>
          <w:tcPr>
            <w:tcW w:w="5130" w:type="dxa"/>
          </w:tcPr>
          <w:p w14:paraId="57FAB94B" w14:textId="77777777" w:rsidR="00DC2B82" w:rsidRPr="002C353B" w:rsidRDefault="00DC2B82" w:rsidP="002C353B">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4"/>
                <w:szCs w:val="24"/>
              </w:rPr>
            </w:pPr>
            <w:r w:rsidRPr="002C353B">
              <w:rPr>
                <w:rFonts w:asciiTheme="majorHAnsi" w:eastAsiaTheme="majorEastAsia" w:hAnsiTheme="majorHAnsi" w:cstheme="majorBidi"/>
                <w:sz w:val="24"/>
                <w:szCs w:val="24"/>
              </w:rPr>
              <w:t>Common Name</w:t>
            </w:r>
          </w:p>
        </w:tc>
      </w:tr>
      <w:tr w:rsidR="00DC2B82" w:rsidRPr="002C353B" w14:paraId="4A0CF589" w14:textId="77777777" w:rsidTr="00DC2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71F138F7" w14:textId="77777777" w:rsidR="00DC2B82" w:rsidRPr="002C353B" w:rsidRDefault="00DC2B82" w:rsidP="002C353B">
            <w:pPr>
              <w:rPr>
                <w:i/>
                <w:iCs/>
              </w:rPr>
            </w:pPr>
            <w:r w:rsidRPr="002C353B">
              <w:rPr>
                <w:rFonts w:asciiTheme="minorHAnsi" w:hAnsiTheme="minorHAnsi" w:cstheme="minorBidi"/>
                <w:i/>
                <w:iCs/>
              </w:rPr>
              <w:t>Eupatorium perfoliatum</w:t>
            </w:r>
          </w:p>
        </w:tc>
        <w:tc>
          <w:tcPr>
            <w:tcW w:w="5130" w:type="dxa"/>
          </w:tcPr>
          <w:p w14:paraId="4E235304" w14:textId="77777777" w:rsidR="00DC2B82" w:rsidRPr="002C353B" w:rsidRDefault="00DC2B82" w:rsidP="002C35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Common Boneset</w:t>
            </w:r>
          </w:p>
        </w:tc>
      </w:tr>
      <w:tr w:rsidR="00DC2B82" w:rsidRPr="002C353B" w14:paraId="087EE049" w14:textId="77777777" w:rsidTr="00DC2B82">
        <w:tc>
          <w:tcPr>
            <w:cnfStyle w:val="001000000000" w:firstRow="0" w:lastRow="0" w:firstColumn="1" w:lastColumn="0" w:oddVBand="0" w:evenVBand="0" w:oddHBand="0" w:evenHBand="0" w:firstRowFirstColumn="0" w:firstRowLastColumn="0" w:lastRowFirstColumn="0" w:lastRowLastColumn="0"/>
            <w:tcW w:w="4135" w:type="dxa"/>
          </w:tcPr>
          <w:p w14:paraId="6E347723" w14:textId="77777777" w:rsidR="00DC2B82" w:rsidRPr="002C353B" w:rsidRDefault="00DC2B82" w:rsidP="002C353B">
            <w:pPr>
              <w:rPr>
                <w:rFonts w:asciiTheme="minorHAnsi" w:hAnsiTheme="minorHAnsi" w:cstheme="minorBidi"/>
                <w:i/>
                <w:iCs/>
              </w:rPr>
            </w:pPr>
            <w:r w:rsidRPr="002C353B">
              <w:rPr>
                <w:rFonts w:asciiTheme="minorHAnsi" w:hAnsiTheme="minorHAnsi" w:cstheme="minorBidi"/>
                <w:i/>
                <w:iCs/>
              </w:rPr>
              <w:t>Gentiana </w:t>
            </w:r>
            <w:proofErr w:type="spellStart"/>
            <w:r w:rsidRPr="002C353B">
              <w:rPr>
                <w:rFonts w:asciiTheme="minorHAnsi" w:hAnsiTheme="minorHAnsi" w:cstheme="minorBidi"/>
                <w:i/>
                <w:iCs/>
              </w:rPr>
              <w:t>andrewsii</w:t>
            </w:r>
            <w:proofErr w:type="spellEnd"/>
            <w:r w:rsidRPr="002C353B">
              <w:rPr>
                <w:rFonts w:asciiTheme="minorHAnsi" w:hAnsiTheme="minorHAnsi" w:cstheme="minorBidi"/>
                <w:i/>
                <w:iCs/>
              </w:rPr>
              <w:t> (3‐9)</w:t>
            </w:r>
          </w:p>
        </w:tc>
        <w:tc>
          <w:tcPr>
            <w:tcW w:w="5130" w:type="dxa"/>
          </w:tcPr>
          <w:p w14:paraId="6DCB68E8" w14:textId="77777777" w:rsidR="00DC2B82" w:rsidRPr="002C353B" w:rsidRDefault="00DC2B82" w:rsidP="002C3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Bottle Gentian</w:t>
            </w:r>
          </w:p>
        </w:tc>
      </w:tr>
      <w:tr w:rsidR="00DC2B82" w:rsidRPr="002C353B" w14:paraId="36125481" w14:textId="77777777" w:rsidTr="00DC2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066EF709" w14:textId="77777777" w:rsidR="00DC2B82" w:rsidRPr="002C353B" w:rsidRDefault="00DC2B82" w:rsidP="002C353B">
            <w:pPr>
              <w:rPr>
                <w:rFonts w:asciiTheme="minorHAnsi" w:hAnsiTheme="minorHAnsi" w:cstheme="minorBidi"/>
                <w:i/>
                <w:iCs/>
              </w:rPr>
            </w:pPr>
            <w:r w:rsidRPr="002C353B">
              <w:rPr>
                <w:rFonts w:asciiTheme="minorHAnsi" w:hAnsiTheme="minorHAnsi" w:cstheme="minorBidi"/>
                <w:i/>
                <w:iCs/>
              </w:rPr>
              <w:t>Helenium </w:t>
            </w:r>
            <w:proofErr w:type="spellStart"/>
            <w:r w:rsidRPr="002C353B">
              <w:rPr>
                <w:rFonts w:asciiTheme="minorHAnsi" w:hAnsiTheme="minorHAnsi" w:cstheme="minorBidi"/>
                <w:i/>
                <w:iCs/>
              </w:rPr>
              <w:t>autumnale</w:t>
            </w:r>
            <w:proofErr w:type="spellEnd"/>
            <w:r w:rsidRPr="002C353B">
              <w:rPr>
                <w:rFonts w:asciiTheme="minorHAnsi" w:hAnsiTheme="minorHAnsi" w:cstheme="minorBidi"/>
                <w:i/>
                <w:iCs/>
              </w:rPr>
              <w:t> (3,4,7‐9)</w:t>
            </w:r>
          </w:p>
        </w:tc>
        <w:tc>
          <w:tcPr>
            <w:tcW w:w="5130" w:type="dxa"/>
          </w:tcPr>
          <w:p w14:paraId="6A07D5AE" w14:textId="77777777" w:rsidR="00DC2B82" w:rsidRPr="002C353B" w:rsidRDefault="00DC2B82" w:rsidP="002C35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Autumn Sneezeweed</w:t>
            </w:r>
          </w:p>
        </w:tc>
      </w:tr>
      <w:tr w:rsidR="00DC2B82" w:rsidRPr="002C353B" w14:paraId="4032367F" w14:textId="77777777" w:rsidTr="00DC2B82">
        <w:tc>
          <w:tcPr>
            <w:cnfStyle w:val="001000000000" w:firstRow="0" w:lastRow="0" w:firstColumn="1" w:lastColumn="0" w:oddVBand="0" w:evenVBand="0" w:oddHBand="0" w:evenHBand="0" w:firstRowFirstColumn="0" w:firstRowLastColumn="0" w:lastRowFirstColumn="0" w:lastRowLastColumn="0"/>
            <w:tcW w:w="4135" w:type="dxa"/>
          </w:tcPr>
          <w:p w14:paraId="7840A00B" w14:textId="77777777" w:rsidR="00DC2B82" w:rsidRPr="002C353B" w:rsidRDefault="00DC2B82" w:rsidP="002C353B">
            <w:pPr>
              <w:rPr>
                <w:rFonts w:asciiTheme="minorHAnsi" w:hAnsiTheme="minorHAnsi" w:cstheme="minorBidi"/>
                <w:i/>
                <w:iCs/>
              </w:rPr>
            </w:pPr>
            <w:r w:rsidRPr="002C353B">
              <w:rPr>
                <w:rFonts w:asciiTheme="minorHAnsi" w:hAnsiTheme="minorHAnsi" w:cstheme="minorBidi"/>
                <w:i/>
                <w:iCs/>
              </w:rPr>
              <w:t>Helianthus giganteus (1‐8)</w:t>
            </w:r>
          </w:p>
        </w:tc>
        <w:tc>
          <w:tcPr>
            <w:tcW w:w="5130" w:type="dxa"/>
          </w:tcPr>
          <w:p w14:paraId="6248B543" w14:textId="77777777" w:rsidR="00DC2B82" w:rsidRPr="002C353B" w:rsidRDefault="00DC2B82" w:rsidP="002C3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Giant Sunflower</w:t>
            </w:r>
          </w:p>
        </w:tc>
      </w:tr>
      <w:tr w:rsidR="00DC2B82" w:rsidRPr="002C353B" w14:paraId="228B734D" w14:textId="77777777" w:rsidTr="00DC2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61618EA9" w14:textId="77777777" w:rsidR="00DC2B82" w:rsidRPr="002C353B" w:rsidRDefault="00DC2B82" w:rsidP="002C353B">
            <w:pPr>
              <w:rPr>
                <w:rFonts w:asciiTheme="minorHAnsi" w:hAnsiTheme="minorHAnsi" w:cstheme="minorBidi"/>
                <w:i/>
                <w:iCs/>
              </w:rPr>
            </w:pPr>
            <w:r w:rsidRPr="002C353B">
              <w:rPr>
                <w:rFonts w:asciiTheme="minorHAnsi" w:hAnsiTheme="minorHAnsi" w:cstheme="minorBidi"/>
                <w:i/>
                <w:iCs/>
              </w:rPr>
              <w:t>Lobelia spicata</w:t>
            </w:r>
          </w:p>
        </w:tc>
        <w:tc>
          <w:tcPr>
            <w:tcW w:w="5130" w:type="dxa"/>
          </w:tcPr>
          <w:p w14:paraId="76AAD224" w14:textId="77777777" w:rsidR="00DC2B82" w:rsidRPr="002C353B" w:rsidRDefault="00DC2B82" w:rsidP="002C35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Rough‐spiked Lobelia</w:t>
            </w:r>
          </w:p>
        </w:tc>
      </w:tr>
      <w:tr w:rsidR="00DC2B82" w:rsidRPr="002C353B" w14:paraId="730F0F5C" w14:textId="77777777" w:rsidTr="00DC2B82">
        <w:tc>
          <w:tcPr>
            <w:cnfStyle w:val="001000000000" w:firstRow="0" w:lastRow="0" w:firstColumn="1" w:lastColumn="0" w:oddVBand="0" w:evenVBand="0" w:oddHBand="0" w:evenHBand="0" w:firstRowFirstColumn="0" w:firstRowLastColumn="0" w:lastRowFirstColumn="0" w:lastRowLastColumn="0"/>
            <w:tcW w:w="4135" w:type="dxa"/>
          </w:tcPr>
          <w:p w14:paraId="5AD323FE" w14:textId="77777777" w:rsidR="00DC2B82" w:rsidRPr="002C353B" w:rsidRDefault="00DC2B82" w:rsidP="002C353B">
            <w:pPr>
              <w:rPr>
                <w:rFonts w:asciiTheme="minorHAnsi" w:hAnsiTheme="minorHAnsi" w:cstheme="minorBidi"/>
                <w:i/>
                <w:iCs/>
              </w:rPr>
            </w:pPr>
            <w:proofErr w:type="spellStart"/>
            <w:r w:rsidRPr="002C353B">
              <w:rPr>
                <w:rFonts w:asciiTheme="minorHAnsi" w:hAnsiTheme="minorHAnsi" w:cstheme="minorBidi"/>
                <w:i/>
                <w:iCs/>
              </w:rPr>
              <w:t>Lysimachia</w:t>
            </w:r>
            <w:proofErr w:type="spellEnd"/>
            <w:r w:rsidRPr="002C353B">
              <w:rPr>
                <w:rFonts w:asciiTheme="minorHAnsi" w:hAnsiTheme="minorHAnsi" w:cstheme="minorBidi"/>
                <w:i/>
                <w:iCs/>
              </w:rPr>
              <w:t> </w:t>
            </w:r>
            <w:proofErr w:type="spellStart"/>
            <w:r w:rsidRPr="002C353B">
              <w:rPr>
                <w:rFonts w:asciiTheme="minorHAnsi" w:hAnsiTheme="minorHAnsi" w:cstheme="minorBidi"/>
                <w:i/>
                <w:iCs/>
              </w:rPr>
              <w:t>ciliata</w:t>
            </w:r>
            <w:proofErr w:type="spellEnd"/>
          </w:p>
        </w:tc>
        <w:tc>
          <w:tcPr>
            <w:tcW w:w="5130" w:type="dxa"/>
          </w:tcPr>
          <w:p w14:paraId="7118AB00" w14:textId="77777777" w:rsidR="00DC2B82" w:rsidRPr="002C353B" w:rsidRDefault="00DC2B82" w:rsidP="002C3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Fringed Loosestrife</w:t>
            </w:r>
          </w:p>
        </w:tc>
      </w:tr>
      <w:tr w:rsidR="00DC2B82" w:rsidRPr="002C353B" w14:paraId="6AB4EAFC" w14:textId="77777777" w:rsidTr="00DC2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23CD23AD" w14:textId="3410B6E8" w:rsidR="00DC2B82" w:rsidRPr="002C353B" w:rsidRDefault="00DC2B82" w:rsidP="002C353B">
            <w:pPr>
              <w:rPr>
                <w:rFonts w:asciiTheme="minorHAnsi" w:hAnsiTheme="minorHAnsi" w:cstheme="minorBidi"/>
                <w:i/>
                <w:iCs/>
              </w:rPr>
            </w:pPr>
            <w:r w:rsidRPr="002C353B">
              <w:rPr>
                <w:rFonts w:asciiTheme="minorHAnsi" w:hAnsiTheme="minorHAnsi" w:cstheme="minorBidi"/>
                <w:i/>
                <w:iCs/>
              </w:rPr>
              <w:t>Phlox </w:t>
            </w:r>
            <w:r w:rsidR="00AE00B0">
              <w:rPr>
                <w:rFonts w:asciiTheme="minorHAnsi" w:hAnsiTheme="minorHAnsi" w:cstheme="minorBidi"/>
                <w:i/>
                <w:iCs/>
              </w:rPr>
              <w:t>Pilosa</w:t>
            </w:r>
          </w:p>
        </w:tc>
        <w:tc>
          <w:tcPr>
            <w:tcW w:w="5130" w:type="dxa"/>
          </w:tcPr>
          <w:p w14:paraId="0FDE6304" w14:textId="77777777" w:rsidR="00DC2B82" w:rsidRPr="002C353B" w:rsidRDefault="00DC2B82" w:rsidP="002C35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Prairie Phlox</w:t>
            </w:r>
          </w:p>
        </w:tc>
      </w:tr>
      <w:tr w:rsidR="00DC2B82" w:rsidRPr="002C353B" w14:paraId="62411798" w14:textId="77777777" w:rsidTr="00DC2B82">
        <w:tc>
          <w:tcPr>
            <w:cnfStyle w:val="001000000000" w:firstRow="0" w:lastRow="0" w:firstColumn="1" w:lastColumn="0" w:oddVBand="0" w:evenVBand="0" w:oddHBand="0" w:evenHBand="0" w:firstRowFirstColumn="0" w:firstRowLastColumn="0" w:lastRowFirstColumn="0" w:lastRowLastColumn="0"/>
            <w:tcW w:w="4135" w:type="dxa"/>
          </w:tcPr>
          <w:p w14:paraId="39A7A7DA" w14:textId="77777777" w:rsidR="00DC2B82" w:rsidRPr="002C353B" w:rsidRDefault="00DC2B82" w:rsidP="002C353B">
            <w:pPr>
              <w:rPr>
                <w:rFonts w:asciiTheme="minorHAnsi" w:hAnsiTheme="minorHAnsi" w:cstheme="minorBidi"/>
                <w:i/>
                <w:iCs/>
              </w:rPr>
            </w:pPr>
            <w:r w:rsidRPr="002C353B">
              <w:rPr>
                <w:rFonts w:asciiTheme="minorHAnsi" w:hAnsiTheme="minorHAnsi" w:cstheme="minorBidi"/>
                <w:i/>
                <w:iCs/>
              </w:rPr>
              <w:t>Sisyrinchium </w:t>
            </w:r>
            <w:proofErr w:type="spellStart"/>
            <w:r w:rsidRPr="002C353B">
              <w:rPr>
                <w:rFonts w:asciiTheme="minorHAnsi" w:hAnsiTheme="minorHAnsi" w:cstheme="minorBidi"/>
                <w:i/>
                <w:iCs/>
              </w:rPr>
              <w:t>montanum</w:t>
            </w:r>
            <w:proofErr w:type="spellEnd"/>
          </w:p>
        </w:tc>
        <w:tc>
          <w:tcPr>
            <w:tcW w:w="5130" w:type="dxa"/>
          </w:tcPr>
          <w:p w14:paraId="6FDF3C05" w14:textId="77777777" w:rsidR="00DC2B82" w:rsidRPr="002C353B" w:rsidRDefault="00DC2B82" w:rsidP="002C353B">
            <w:pPr>
              <w:tabs>
                <w:tab w:val="left" w:pos="104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Mountain Blue‐eyed Grass</w:t>
            </w:r>
          </w:p>
        </w:tc>
      </w:tr>
      <w:tr w:rsidR="00DC2B82" w:rsidRPr="002C353B" w14:paraId="0A8FB073" w14:textId="77777777" w:rsidTr="00DC2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763313F5" w14:textId="77777777" w:rsidR="00DC2B82" w:rsidRPr="002C353B" w:rsidRDefault="00DC2B82" w:rsidP="002C353B">
            <w:pPr>
              <w:rPr>
                <w:rFonts w:asciiTheme="minorHAnsi" w:hAnsiTheme="minorHAnsi" w:cstheme="minorBidi"/>
                <w:i/>
                <w:iCs/>
              </w:rPr>
            </w:pPr>
            <w:proofErr w:type="spellStart"/>
            <w:r w:rsidRPr="002C353B">
              <w:rPr>
                <w:rFonts w:asciiTheme="minorHAnsi" w:hAnsiTheme="minorHAnsi" w:cstheme="minorBidi"/>
                <w:i/>
                <w:iCs/>
              </w:rPr>
              <w:t>Symphyotrichum</w:t>
            </w:r>
            <w:proofErr w:type="spellEnd"/>
            <w:r w:rsidRPr="002C353B">
              <w:rPr>
                <w:rFonts w:asciiTheme="minorHAnsi" w:hAnsiTheme="minorHAnsi" w:cstheme="minorBidi"/>
                <w:i/>
                <w:iCs/>
              </w:rPr>
              <w:t> </w:t>
            </w:r>
            <w:proofErr w:type="spellStart"/>
            <w:r w:rsidRPr="002C353B">
              <w:rPr>
                <w:rFonts w:asciiTheme="minorHAnsi" w:hAnsiTheme="minorHAnsi" w:cstheme="minorBidi"/>
                <w:i/>
                <w:iCs/>
              </w:rPr>
              <w:t>puniceum</w:t>
            </w:r>
            <w:proofErr w:type="spellEnd"/>
          </w:p>
        </w:tc>
        <w:tc>
          <w:tcPr>
            <w:tcW w:w="5130" w:type="dxa"/>
          </w:tcPr>
          <w:p w14:paraId="209193DE" w14:textId="77777777" w:rsidR="00DC2B82" w:rsidRPr="002C353B" w:rsidRDefault="00DC2B82" w:rsidP="002C35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Red‐stemmed Aster</w:t>
            </w:r>
          </w:p>
        </w:tc>
      </w:tr>
      <w:tr w:rsidR="00DC2B82" w:rsidRPr="002C353B" w14:paraId="07563904" w14:textId="77777777" w:rsidTr="00DC2B82">
        <w:tc>
          <w:tcPr>
            <w:cnfStyle w:val="001000000000" w:firstRow="0" w:lastRow="0" w:firstColumn="1" w:lastColumn="0" w:oddVBand="0" w:evenVBand="0" w:oddHBand="0" w:evenHBand="0" w:firstRowFirstColumn="0" w:firstRowLastColumn="0" w:lastRowFirstColumn="0" w:lastRowLastColumn="0"/>
            <w:tcW w:w="4135" w:type="dxa"/>
          </w:tcPr>
          <w:p w14:paraId="4570E88B" w14:textId="77777777" w:rsidR="00DC2B82" w:rsidRPr="002C353B" w:rsidRDefault="00DC2B82" w:rsidP="002C353B">
            <w:pPr>
              <w:tabs>
                <w:tab w:val="left" w:pos="1002"/>
              </w:tabs>
              <w:rPr>
                <w:rFonts w:asciiTheme="minorHAnsi" w:hAnsiTheme="minorHAnsi" w:cstheme="minorBidi"/>
                <w:i/>
                <w:iCs/>
              </w:rPr>
            </w:pPr>
            <w:r w:rsidRPr="002C353B">
              <w:rPr>
                <w:rFonts w:asciiTheme="minorHAnsi" w:hAnsiTheme="minorHAnsi" w:cstheme="minorBidi"/>
                <w:i/>
                <w:iCs/>
              </w:rPr>
              <w:t>Teucrium canadense (1,4,6‐9)</w:t>
            </w:r>
          </w:p>
        </w:tc>
        <w:tc>
          <w:tcPr>
            <w:tcW w:w="5130" w:type="dxa"/>
          </w:tcPr>
          <w:p w14:paraId="17960240" w14:textId="77777777" w:rsidR="00DC2B82" w:rsidRPr="002C353B" w:rsidRDefault="00DC2B82" w:rsidP="002C3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C353B">
              <w:rPr>
                <w:rFonts w:asciiTheme="minorHAnsi" w:hAnsiTheme="minorHAnsi" w:cstheme="minorBidi"/>
              </w:rPr>
              <w:t>Germander</w:t>
            </w:r>
          </w:p>
        </w:tc>
      </w:tr>
      <w:bookmarkEnd w:id="3"/>
    </w:tbl>
    <w:p w14:paraId="11D60B86" w14:textId="77777777" w:rsidR="002C353B" w:rsidRPr="002C353B" w:rsidRDefault="002C353B" w:rsidP="002C353B">
      <w:pPr>
        <w:spacing w:after="160" w:line="259" w:lineRule="auto"/>
        <w:rPr>
          <w:rFonts w:asciiTheme="minorHAnsi" w:hAnsiTheme="minorHAnsi" w:cstheme="minorBidi"/>
        </w:rPr>
      </w:pPr>
    </w:p>
    <w:p w14:paraId="5B84C894" w14:textId="77777777" w:rsidR="002C353B" w:rsidRPr="002C353B" w:rsidRDefault="002C353B" w:rsidP="002C353B">
      <w:pPr>
        <w:keepNext/>
        <w:keepLines/>
        <w:spacing w:before="40" w:line="259" w:lineRule="auto"/>
        <w:outlineLvl w:val="1"/>
        <w:rPr>
          <w:rFonts w:asciiTheme="majorHAnsi" w:eastAsiaTheme="majorEastAsia" w:hAnsiTheme="majorHAnsi" w:cstheme="majorBidi"/>
          <w:b/>
          <w:bCs/>
          <w:color w:val="2F5496" w:themeColor="accent1" w:themeShade="BF"/>
          <w:sz w:val="26"/>
          <w:szCs w:val="26"/>
        </w:rPr>
      </w:pPr>
      <w:r w:rsidRPr="002C353B">
        <w:rPr>
          <w:rFonts w:asciiTheme="majorHAnsi" w:eastAsiaTheme="majorEastAsia" w:hAnsiTheme="majorHAnsi" w:cstheme="majorBidi"/>
          <w:b/>
          <w:bCs/>
          <w:color w:val="2F5496" w:themeColor="accent1" w:themeShade="BF"/>
          <w:sz w:val="26"/>
          <w:szCs w:val="26"/>
        </w:rPr>
        <w:t>Sedges:</w:t>
      </w:r>
    </w:p>
    <w:tbl>
      <w:tblPr>
        <w:tblStyle w:val="GridTable6Colorful"/>
        <w:tblW w:w="9265" w:type="dxa"/>
        <w:tblLook w:val="04A0" w:firstRow="1" w:lastRow="0" w:firstColumn="1" w:lastColumn="0" w:noHBand="0" w:noVBand="1"/>
      </w:tblPr>
      <w:tblGrid>
        <w:gridCol w:w="4135"/>
        <w:gridCol w:w="5130"/>
      </w:tblGrid>
      <w:tr w:rsidR="00DC2B82" w:rsidRPr="002C353B" w14:paraId="7ACBFA5D" w14:textId="77777777" w:rsidTr="00DC2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100FB8C0" w14:textId="77777777" w:rsidR="00DC2B82" w:rsidRPr="002C353B" w:rsidRDefault="00DC2B82" w:rsidP="002C353B">
            <w:pPr>
              <w:keepNext/>
              <w:keepLines/>
              <w:spacing w:before="40"/>
              <w:jc w:val="center"/>
              <w:outlineLvl w:val="2"/>
              <w:rPr>
                <w:rFonts w:asciiTheme="majorHAnsi" w:eastAsiaTheme="majorEastAsia" w:hAnsiTheme="majorHAnsi" w:cstheme="majorBidi"/>
                <w:color w:val="1F3763" w:themeColor="accent1" w:themeShade="7F"/>
                <w:sz w:val="24"/>
                <w:szCs w:val="24"/>
              </w:rPr>
            </w:pPr>
            <w:r w:rsidRPr="002C353B">
              <w:rPr>
                <w:rFonts w:asciiTheme="majorHAnsi" w:eastAsiaTheme="majorEastAsia" w:hAnsiTheme="majorHAnsi" w:cstheme="majorBidi"/>
                <w:sz w:val="24"/>
                <w:szCs w:val="24"/>
              </w:rPr>
              <w:t>Scientific Name</w:t>
            </w:r>
          </w:p>
        </w:tc>
        <w:tc>
          <w:tcPr>
            <w:tcW w:w="5130" w:type="dxa"/>
          </w:tcPr>
          <w:p w14:paraId="462F4F34" w14:textId="77777777" w:rsidR="00DC2B82" w:rsidRPr="002C353B" w:rsidRDefault="00DC2B82" w:rsidP="002C353B">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4"/>
                <w:szCs w:val="24"/>
              </w:rPr>
            </w:pPr>
            <w:r w:rsidRPr="002C353B">
              <w:rPr>
                <w:rFonts w:asciiTheme="majorHAnsi" w:eastAsiaTheme="majorEastAsia" w:hAnsiTheme="majorHAnsi" w:cstheme="majorBidi"/>
                <w:sz w:val="24"/>
                <w:szCs w:val="24"/>
              </w:rPr>
              <w:t>Common Name</w:t>
            </w:r>
          </w:p>
        </w:tc>
      </w:tr>
      <w:tr w:rsidR="00DC2B82" w:rsidRPr="002C353B" w14:paraId="56AC1C93" w14:textId="77777777" w:rsidTr="00DC2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7E50AC41" w14:textId="77777777" w:rsidR="00DC2B82" w:rsidRPr="002C353B" w:rsidRDefault="00DC2B82" w:rsidP="002C353B">
            <w:pPr>
              <w:rPr>
                <w:i/>
                <w:iCs/>
              </w:rPr>
            </w:pPr>
            <w:r w:rsidRPr="002C353B">
              <w:rPr>
                <w:rFonts w:asciiTheme="minorHAnsi" w:hAnsiTheme="minorHAnsi" w:cstheme="minorBidi"/>
                <w:i/>
                <w:iCs/>
              </w:rPr>
              <w:t>Calamagrostis canadensis</w:t>
            </w:r>
          </w:p>
        </w:tc>
        <w:tc>
          <w:tcPr>
            <w:tcW w:w="5130" w:type="dxa"/>
          </w:tcPr>
          <w:p w14:paraId="77ED3E29" w14:textId="77777777" w:rsidR="00DC2B82" w:rsidRPr="002C353B" w:rsidRDefault="00DC2B82" w:rsidP="002C353B">
            <w:pPr>
              <w:cnfStyle w:val="000000100000" w:firstRow="0" w:lastRow="0" w:firstColumn="0" w:lastColumn="0" w:oddVBand="0" w:evenVBand="0" w:oddHBand="1" w:evenHBand="0" w:firstRowFirstColumn="0" w:firstRowLastColumn="0" w:lastRowFirstColumn="0" w:lastRowLastColumn="0"/>
            </w:pPr>
            <w:r w:rsidRPr="002C353B">
              <w:rPr>
                <w:rFonts w:asciiTheme="minorHAnsi" w:hAnsiTheme="minorHAnsi" w:cstheme="minorBidi"/>
              </w:rPr>
              <w:t>Bluejoint</w:t>
            </w:r>
          </w:p>
        </w:tc>
      </w:tr>
      <w:tr w:rsidR="00DC2B82" w:rsidRPr="002C353B" w14:paraId="684720E3" w14:textId="77777777" w:rsidTr="00DC2B82">
        <w:tc>
          <w:tcPr>
            <w:cnfStyle w:val="001000000000" w:firstRow="0" w:lastRow="0" w:firstColumn="1" w:lastColumn="0" w:oddVBand="0" w:evenVBand="0" w:oddHBand="0" w:evenHBand="0" w:firstRowFirstColumn="0" w:firstRowLastColumn="0" w:lastRowFirstColumn="0" w:lastRowLastColumn="0"/>
            <w:tcW w:w="4135" w:type="dxa"/>
          </w:tcPr>
          <w:p w14:paraId="23D11A35" w14:textId="77777777" w:rsidR="00DC2B82" w:rsidRPr="002C353B" w:rsidRDefault="00DC2B82" w:rsidP="002C353B">
            <w:pPr>
              <w:rPr>
                <w:i/>
                <w:iCs/>
              </w:rPr>
            </w:pPr>
            <w:proofErr w:type="spellStart"/>
            <w:r w:rsidRPr="002C353B">
              <w:rPr>
                <w:rFonts w:asciiTheme="minorHAnsi" w:hAnsiTheme="minorHAnsi" w:cstheme="minorBidi"/>
                <w:i/>
                <w:iCs/>
              </w:rPr>
              <w:t>Carex</w:t>
            </w:r>
            <w:proofErr w:type="spellEnd"/>
            <w:r w:rsidRPr="002C353B">
              <w:rPr>
                <w:rFonts w:asciiTheme="minorHAnsi" w:hAnsiTheme="minorHAnsi" w:cstheme="minorBidi"/>
                <w:i/>
                <w:iCs/>
              </w:rPr>
              <w:t> </w:t>
            </w:r>
            <w:proofErr w:type="spellStart"/>
            <w:r w:rsidRPr="002C353B">
              <w:rPr>
                <w:rFonts w:asciiTheme="minorHAnsi" w:hAnsiTheme="minorHAnsi" w:cstheme="minorBidi"/>
                <w:i/>
                <w:iCs/>
              </w:rPr>
              <w:t>bebbii</w:t>
            </w:r>
            <w:proofErr w:type="spellEnd"/>
          </w:p>
        </w:tc>
        <w:tc>
          <w:tcPr>
            <w:tcW w:w="5130" w:type="dxa"/>
          </w:tcPr>
          <w:p w14:paraId="27E71ED3" w14:textId="77777777" w:rsidR="00DC2B82" w:rsidRPr="002C353B" w:rsidRDefault="00DC2B82" w:rsidP="002C353B">
            <w:pPr>
              <w:cnfStyle w:val="000000000000" w:firstRow="0" w:lastRow="0" w:firstColumn="0" w:lastColumn="0" w:oddVBand="0" w:evenVBand="0" w:oddHBand="0" w:evenHBand="0" w:firstRowFirstColumn="0" w:firstRowLastColumn="0" w:lastRowFirstColumn="0" w:lastRowLastColumn="0"/>
            </w:pPr>
            <w:r w:rsidRPr="002C353B">
              <w:rPr>
                <w:rFonts w:asciiTheme="minorHAnsi" w:hAnsiTheme="minorHAnsi" w:cstheme="minorBidi"/>
              </w:rPr>
              <w:t>Bebb's Sedge</w:t>
            </w:r>
          </w:p>
        </w:tc>
      </w:tr>
      <w:tr w:rsidR="00DC2B82" w:rsidRPr="002C353B" w14:paraId="13C44131" w14:textId="77777777" w:rsidTr="00DC2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0BC59B28" w14:textId="77777777" w:rsidR="00DC2B82" w:rsidRPr="002C353B" w:rsidRDefault="00DC2B82" w:rsidP="002C353B">
            <w:pPr>
              <w:rPr>
                <w:i/>
                <w:iCs/>
              </w:rPr>
            </w:pPr>
            <w:proofErr w:type="spellStart"/>
            <w:r w:rsidRPr="002C353B">
              <w:rPr>
                <w:rFonts w:asciiTheme="minorHAnsi" w:hAnsiTheme="minorHAnsi" w:cstheme="minorBidi"/>
                <w:i/>
                <w:iCs/>
              </w:rPr>
              <w:t>Carex</w:t>
            </w:r>
            <w:proofErr w:type="spellEnd"/>
            <w:r w:rsidRPr="002C353B">
              <w:rPr>
                <w:rFonts w:asciiTheme="minorHAnsi" w:hAnsiTheme="minorHAnsi" w:cstheme="minorBidi"/>
                <w:i/>
                <w:iCs/>
              </w:rPr>
              <w:t> </w:t>
            </w:r>
            <w:proofErr w:type="spellStart"/>
            <w:r w:rsidRPr="002C353B">
              <w:rPr>
                <w:rFonts w:asciiTheme="minorHAnsi" w:hAnsiTheme="minorHAnsi" w:cstheme="minorBidi"/>
                <w:i/>
                <w:iCs/>
              </w:rPr>
              <w:t>brevoir</w:t>
            </w:r>
            <w:proofErr w:type="spellEnd"/>
          </w:p>
        </w:tc>
        <w:tc>
          <w:tcPr>
            <w:tcW w:w="5130" w:type="dxa"/>
          </w:tcPr>
          <w:p w14:paraId="36DDF638" w14:textId="77777777" w:rsidR="00DC2B82" w:rsidRPr="002C353B" w:rsidRDefault="00DC2B82" w:rsidP="002C353B">
            <w:pPr>
              <w:cnfStyle w:val="000000100000" w:firstRow="0" w:lastRow="0" w:firstColumn="0" w:lastColumn="0" w:oddVBand="0" w:evenVBand="0" w:oddHBand="1" w:evenHBand="0" w:firstRowFirstColumn="0" w:firstRowLastColumn="0" w:lastRowFirstColumn="0" w:lastRowLastColumn="0"/>
            </w:pPr>
            <w:r w:rsidRPr="002C353B">
              <w:rPr>
                <w:rFonts w:asciiTheme="minorHAnsi" w:hAnsiTheme="minorHAnsi" w:cstheme="minorBidi"/>
              </w:rPr>
              <w:t>Short Sedge</w:t>
            </w:r>
          </w:p>
        </w:tc>
      </w:tr>
      <w:tr w:rsidR="00DC2B82" w:rsidRPr="002C353B" w14:paraId="4DFCFB67" w14:textId="77777777" w:rsidTr="00DC2B82">
        <w:tc>
          <w:tcPr>
            <w:cnfStyle w:val="001000000000" w:firstRow="0" w:lastRow="0" w:firstColumn="1" w:lastColumn="0" w:oddVBand="0" w:evenVBand="0" w:oddHBand="0" w:evenHBand="0" w:firstRowFirstColumn="0" w:firstRowLastColumn="0" w:lastRowFirstColumn="0" w:lastRowLastColumn="0"/>
            <w:tcW w:w="4135" w:type="dxa"/>
          </w:tcPr>
          <w:p w14:paraId="6B05B383" w14:textId="77777777" w:rsidR="00DC2B82" w:rsidRPr="002C353B" w:rsidRDefault="00DC2B82" w:rsidP="002C353B">
            <w:pPr>
              <w:rPr>
                <w:i/>
                <w:iCs/>
              </w:rPr>
            </w:pPr>
            <w:proofErr w:type="spellStart"/>
            <w:r w:rsidRPr="002C353B">
              <w:rPr>
                <w:rFonts w:asciiTheme="minorHAnsi" w:hAnsiTheme="minorHAnsi" w:cstheme="minorBidi"/>
                <w:i/>
                <w:iCs/>
              </w:rPr>
              <w:t>Carex</w:t>
            </w:r>
            <w:proofErr w:type="spellEnd"/>
            <w:r w:rsidRPr="002C353B">
              <w:rPr>
                <w:rFonts w:asciiTheme="minorHAnsi" w:hAnsiTheme="minorHAnsi" w:cstheme="minorBidi"/>
                <w:i/>
                <w:iCs/>
              </w:rPr>
              <w:t> </w:t>
            </w:r>
            <w:proofErr w:type="spellStart"/>
            <w:r w:rsidRPr="002C353B">
              <w:rPr>
                <w:rFonts w:asciiTheme="minorHAnsi" w:hAnsiTheme="minorHAnsi" w:cstheme="minorBidi"/>
                <w:i/>
                <w:iCs/>
              </w:rPr>
              <w:t>pellita</w:t>
            </w:r>
            <w:proofErr w:type="spellEnd"/>
          </w:p>
        </w:tc>
        <w:tc>
          <w:tcPr>
            <w:tcW w:w="5130" w:type="dxa"/>
          </w:tcPr>
          <w:p w14:paraId="54C4AA11" w14:textId="77777777" w:rsidR="00DC2B82" w:rsidRPr="002C353B" w:rsidRDefault="00DC2B82" w:rsidP="002C353B">
            <w:pPr>
              <w:cnfStyle w:val="000000000000" w:firstRow="0" w:lastRow="0" w:firstColumn="0" w:lastColumn="0" w:oddVBand="0" w:evenVBand="0" w:oddHBand="0" w:evenHBand="0" w:firstRowFirstColumn="0" w:firstRowLastColumn="0" w:lastRowFirstColumn="0" w:lastRowLastColumn="0"/>
            </w:pPr>
            <w:r w:rsidRPr="002C353B">
              <w:rPr>
                <w:rFonts w:asciiTheme="minorHAnsi" w:hAnsiTheme="minorHAnsi" w:cstheme="minorBidi"/>
              </w:rPr>
              <w:t>Wooly Sedge</w:t>
            </w:r>
          </w:p>
        </w:tc>
      </w:tr>
      <w:tr w:rsidR="00DC2B82" w:rsidRPr="002C353B" w14:paraId="5E0436C5" w14:textId="77777777" w:rsidTr="00DC2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7D457302" w14:textId="77777777" w:rsidR="00DC2B82" w:rsidRPr="002C353B" w:rsidRDefault="00DC2B82" w:rsidP="002C353B">
            <w:pPr>
              <w:rPr>
                <w:i/>
                <w:iCs/>
              </w:rPr>
            </w:pPr>
            <w:r w:rsidRPr="002C353B">
              <w:rPr>
                <w:rFonts w:asciiTheme="minorHAnsi" w:hAnsiTheme="minorHAnsi" w:cstheme="minorBidi"/>
                <w:i/>
                <w:iCs/>
              </w:rPr>
              <w:t>Juncus </w:t>
            </w:r>
            <w:proofErr w:type="spellStart"/>
            <w:r w:rsidRPr="002C353B">
              <w:rPr>
                <w:rFonts w:asciiTheme="minorHAnsi" w:hAnsiTheme="minorHAnsi" w:cstheme="minorBidi"/>
                <w:i/>
                <w:iCs/>
              </w:rPr>
              <w:t>dudleyi</w:t>
            </w:r>
            <w:proofErr w:type="spellEnd"/>
          </w:p>
        </w:tc>
        <w:tc>
          <w:tcPr>
            <w:tcW w:w="5130" w:type="dxa"/>
          </w:tcPr>
          <w:p w14:paraId="6C5A16B3" w14:textId="77777777" w:rsidR="00DC2B82" w:rsidRPr="002C353B" w:rsidRDefault="00DC2B82" w:rsidP="002C353B">
            <w:pPr>
              <w:cnfStyle w:val="000000100000" w:firstRow="0" w:lastRow="0" w:firstColumn="0" w:lastColumn="0" w:oddVBand="0" w:evenVBand="0" w:oddHBand="1" w:evenHBand="0" w:firstRowFirstColumn="0" w:firstRowLastColumn="0" w:lastRowFirstColumn="0" w:lastRowLastColumn="0"/>
            </w:pPr>
            <w:r w:rsidRPr="002C353B">
              <w:rPr>
                <w:rFonts w:asciiTheme="minorHAnsi" w:hAnsiTheme="minorHAnsi" w:cstheme="minorBidi"/>
              </w:rPr>
              <w:t>Dudley's Rush</w:t>
            </w:r>
          </w:p>
        </w:tc>
      </w:tr>
      <w:tr w:rsidR="00DC2B82" w:rsidRPr="002C353B" w14:paraId="4416F792" w14:textId="77777777" w:rsidTr="00DC2B82">
        <w:tc>
          <w:tcPr>
            <w:cnfStyle w:val="001000000000" w:firstRow="0" w:lastRow="0" w:firstColumn="1" w:lastColumn="0" w:oddVBand="0" w:evenVBand="0" w:oddHBand="0" w:evenHBand="0" w:firstRowFirstColumn="0" w:firstRowLastColumn="0" w:lastRowFirstColumn="0" w:lastRowLastColumn="0"/>
            <w:tcW w:w="4135" w:type="dxa"/>
          </w:tcPr>
          <w:p w14:paraId="62B6069F" w14:textId="77777777" w:rsidR="00DC2B82" w:rsidRPr="002C353B" w:rsidRDefault="00DC2B82" w:rsidP="002C353B">
            <w:pPr>
              <w:rPr>
                <w:i/>
                <w:iCs/>
              </w:rPr>
            </w:pPr>
            <w:r w:rsidRPr="002C353B">
              <w:rPr>
                <w:rFonts w:asciiTheme="minorHAnsi" w:hAnsiTheme="minorHAnsi" w:cstheme="minorBidi"/>
                <w:i/>
                <w:iCs/>
              </w:rPr>
              <w:t>Muhlenbergia racemosa</w:t>
            </w:r>
          </w:p>
        </w:tc>
        <w:tc>
          <w:tcPr>
            <w:tcW w:w="5130" w:type="dxa"/>
          </w:tcPr>
          <w:p w14:paraId="7C28E08B" w14:textId="77777777" w:rsidR="00DC2B82" w:rsidRPr="002C353B" w:rsidRDefault="00DC2B82" w:rsidP="002C353B">
            <w:pPr>
              <w:cnfStyle w:val="000000000000" w:firstRow="0" w:lastRow="0" w:firstColumn="0" w:lastColumn="0" w:oddVBand="0" w:evenVBand="0" w:oddHBand="0" w:evenHBand="0" w:firstRowFirstColumn="0" w:firstRowLastColumn="0" w:lastRowFirstColumn="0" w:lastRowLastColumn="0"/>
            </w:pPr>
            <w:r w:rsidRPr="002C353B">
              <w:rPr>
                <w:rFonts w:asciiTheme="minorHAnsi" w:hAnsiTheme="minorHAnsi" w:cstheme="minorBidi"/>
              </w:rPr>
              <w:t>Marsh Muhly Grass</w:t>
            </w:r>
          </w:p>
        </w:tc>
      </w:tr>
    </w:tbl>
    <w:p w14:paraId="7C244ADD" w14:textId="77777777" w:rsidR="002C353B" w:rsidRDefault="002C353B" w:rsidP="009005F6">
      <w:pPr>
        <w:rPr>
          <w:rFonts w:asciiTheme="majorHAnsi" w:hAnsiTheme="majorHAnsi" w:cstheme="majorHAnsi"/>
          <w:b/>
          <w:bCs/>
          <w:sz w:val="40"/>
          <w:szCs w:val="40"/>
        </w:rPr>
      </w:pPr>
    </w:p>
    <w:p w14:paraId="2E1BCBBD" w14:textId="3CC0A0E8" w:rsidR="009005F6" w:rsidRPr="0071078C" w:rsidRDefault="000F1EA0" w:rsidP="009005F6">
      <w:pPr>
        <w:rPr>
          <w:rFonts w:asciiTheme="majorHAnsi" w:hAnsiTheme="majorHAnsi" w:cstheme="majorHAnsi"/>
          <w:b/>
          <w:bCs/>
          <w:sz w:val="40"/>
          <w:szCs w:val="40"/>
        </w:rPr>
      </w:pPr>
      <w:r>
        <w:rPr>
          <w:rFonts w:asciiTheme="majorHAnsi" w:hAnsiTheme="majorHAnsi" w:cstheme="majorHAnsi"/>
          <w:b/>
          <w:bCs/>
          <w:sz w:val="40"/>
          <w:szCs w:val="40"/>
        </w:rPr>
        <w:t>Mid</w:t>
      </w:r>
      <w:r w:rsidR="00B74AA0">
        <w:rPr>
          <w:rFonts w:asciiTheme="majorHAnsi" w:hAnsiTheme="majorHAnsi" w:cstheme="majorHAnsi"/>
          <w:b/>
          <w:bCs/>
          <w:sz w:val="40"/>
          <w:szCs w:val="40"/>
        </w:rPr>
        <w:t xml:space="preserve"> </w:t>
      </w:r>
      <w:r w:rsidR="00F11105">
        <w:rPr>
          <w:rFonts w:asciiTheme="majorHAnsi" w:hAnsiTheme="majorHAnsi" w:cstheme="majorHAnsi"/>
          <w:b/>
          <w:bCs/>
          <w:sz w:val="40"/>
          <w:szCs w:val="40"/>
        </w:rPr>
        <w:t>Diversity</w:t>
      </w:r>
      <w:r>
        <w:rPr>
          <w:rFonts w:asciiTheme="majorHAnsi" w:hAnsiTheme="majorHAnsi" w:cstheme="majorHAnsi"/>
          <w:b/>
          <w:bCs/>
          <w:sz w:val="40"/>
          <w:szCs w:val="40"/>
        </w:rPr>
        <w:t xml:space="preserve"> </w:t>
      </w:r>
      <w:r w:rsidR="008C12F5">
        <w:rPr>
          <w:rFonts w:asciiTheme="majorHAnsi" w:hAnsiTheme="majorHAnsi" w:cstheme="majorHAnsi"/>
          <w:b/>
          <w:bCs/>
          <w:sz w:val="40"/>
          <w:szCs w:val="40"/>
        </w:rPr>
        <w:t>Moist</w:t>
      </w:r>
      <w:r>
        <w:rPr>
          <w:rFonts w:asciiTheme="majorHAnsi" w:hAnsiTheme="majorHAnsi" w:cstheme="majorHAnsi"/>
          <w:b/>
          <w:bCs/>
          <w:sz w:val="40"/>
          <w:szCs w:val="40"/>
        </w:rPr>
        <w:t xml:space="preserve"> </w:t>
      </w:r>
      <w:r w:rsidR="00F11105">
        <w:rPr>
          <w:rFonts w:asciiTheme="majorHAnsi" w:hAnsiTheme="majorHAnsi" w:cstheme="majorHAnsi"/>
          <w:b/>
          <w:bCs/>
          <w:sz w:val="40"/>
          <w:szCs w:val="40"/>
        </w:rPr>
        <w:t xml:space="preserve">Buffer </w:t>
      </w:r>
      <w:r w:rsidR="0041261A">
        <w:rPr>
          <w:rFonts w:asciiTheme="majorHAnsi" w:hAnsiTheme="majorHAnsi" w:cstheme="majorHAnsi"/>
          <w:b/>
          <w:bCs/>
          <w:sz w:val="40"/>
          <w:szCs w:val="40"/>
        </w:rPr>
        <w:t>NE</w:t>
      </w:r>
      <w:r>
        <w:rPr>
          <w:rFonts w:asciiTheme="majorHAnsi" w:hAnsiTheme="majorHAnsi" w:cstheme="majorHAnsi"/>
          <w:b/>
          <w:bCs/>
          <w:sz w:val="40"/>
          <w:szCs w:val="40"/>
        </w:rPr>
        <w:t xml:space="preserve"> </w:t>
      </w:r>
      <w:r w:rsidR="009005F6" w:rsidRPr="0071078C">
        <w:rPr>
          <w:rFonts w:asciiTheme="majorHAnsi" w:hAnsiTheme="majorHAnsi" w:cstheme="majorHAnsi"/>
          <w:b/>
          <w:bCs/>
          <w:sz w:val="40"/>
          <w:szCs w:val="40"/>
        </w:rPr>
        <w:t xml:space="preserve">Seed Mix Guidance </w:t>
      </w:r>
    </w:p>
    <w:p w14:paraId="7B63D551" w14:textId="77777777" w:rsidR="009005F6" w:rsidRPr="0071078C" w:rsidRDefault="009005F6" w:rsidP="009005F6">
      <w:pPr>
        <w:rPr>
          <w:rFonts w:asciiTheme="majorHAnsi" w:hAnsiTheme="majorHAnsi" w:cstheme="majorHAnsi"/>
          <w:b/>
          <w:bCs/>
        </w:rPr>
      </w:pPr>
      <w:r w:rsidRPr="0071078C">
        <w:rPr>
          <w:rFonts w:asciiTheme="majorHAnsi" w:hAnsiTheme="majorHAnsi" w:cstheme="majorHAnsi"/>
          <w:b/>
          <w:bCs/>
        </w:rPr>
        <w:t>(MIX IMAGE)</w:t>
      </w:r>
    </w:p>
    <w:p w14:paraId="3FFB8574" w14:textId="77777777" w:rsidR="009005F6" w:rsidRDefault="009005F6" w:rsidP="009005F6">
      <w:pPr>
        <w:rPr>
          <w:b/>
          <w:bCs/>
        </w:rPr>
      </w:pPr>
    </w:p>
    <w:p w14:paraId="786CA587" w14:textId="44E9B4FB" w:rsidR="005E18D6" w:rsidRPr="005E18D6" w:rsidRDefault="009005F6" w:rsidP="005E18D6">
      <w:pPr>
        <w:rPr>
          <w:rFonts w:ascii="Arial" w:eastAsia="Times New Roman" w:hAnsi="Arial" w:cs="Arial"/>
          <w:b/>
          <w:bCs/>
          <w:color w:val="000000"/>
          <w:sz w:val="20"/>
          <w:szCs w:val="20"/>
        </w:rPr>
      </w:pPr>
      <w:r w:rsidRPr="00211590">
        <w:rPr>
          <w:b/>
          <w:bCs/>
        </w:rPr>
        <w:t>Seed mix name:</w:t>
      </w:r>
      <w:r w:rsidR="000F1EA0">
        <w:t xml:space="preserve"> </w:t>
      </w:r>
      <w:bookmarkStart w:id="4" w:name="_Hlk132712932"/>
      <w:r w:rsidR="000F1EA0">
        <w:t>Mid Diversity M</w:t>
      </w:r>
      <w:r w:rsidR="008C12F5">
        <w:t>oist</w:t>
      </w:r>
      <w:r w:rsidR="000F1EA0">
        <w:t xml:space="preserve"> Buffer </w:t>
      </w:r>
      <w:r w:rsidR="0041261A">
        <w:t>NE</w:t>
      </w:r>
      <w:r w:rsidR="00F11105">
        <w:t xml:space="preserve"> </w:t>
      </w:r>
      <w:r w:rsidR="005E18D6" w:rsidRPr="005E18D6">
        <w:rPr>
          <w:rFonts w:asciiTheme="minorHAnsi" w:eastAsia="Times New Roman" w:hAnsiTheme="minorHAnsi" w:cstheme="minorHAnsi"/>
          <w:color w:val="000000"/>
        </w:rPr>
        <w:t>32-351</w:t>
      </w:r>
      <w:bookmarkEnd w:id="4"/>
    </w:p>
    <w:p w14:paraId="70C62DE8" w14:textId="765A7137" w:rsidR="001E1218" w:rsidRPr="008E0255" w:rsidRDefault="001E1218" w:rsidP="001E1218">
      <w:r w:rsidRPr="008E0255">
        <w:rPr>
          <w:b/>
          <w:bCs/>
        </w:rPr>
        <w:t>Geographic area:</w:t>
      </w:r>
      <w:r w:rsidRPr="008E0255">
        <w:t xml:space="preserve"> Minnesota, </w:t>
      </w:r>
      <w:r w:rsidR="004845A7">
        <w:t>NE</w:t>
      </w:r>
    </w:p>
    <w:p w14:paraId="7DDC1636" w14:textId="77777777" w:rsidR="001E1218" w:rsidRPr="008E0255" w:rsidRDefault="001E1218" w:rsidP="001E1218">
      <w:r w:rsidRPr="008E0255">
        <w:rPr>
          <w:b/>
          <w:bCs/>
        </w:rPr>
        <w:t xml:space="preserve">Year of development: </w:t>
      </w:r>
    </w:p>
    <w:p w14:paraId="7F4D1C69" w14:textId="77777777" w:rsidR="001E1218" w:rsidRPr="008E0255" w:rsidRDefault="001E1218" w:rsidP="001E1218">
      <w:r w:rsidRPr="008E0255">
        <w:rPr>
          <w:b/>
          <w:bCs/>
        </w:rPr>
        <w:t>Year/s of update:</w:t>
      </w:r>
      <w:r w:rsidRPr="008E0255">
        <w:t xml:space="preserve"> 2023 </w:t>
      </w:r>
    </w:p>
    <w:p w14:paraId="4C47DFA8" w14:textId="77777777" w:rsidR="001E1218" w:rsidRPr="008E0255" w:rsidRDefault="001E1218" w:rsidP="001E1218">
      <w:r w:rsidRPr="008E0255">
        <w:rPr>
          <w:b/>
          <w:bCs/>
        </w:rPr>
        <w:t>Status</w:t>
      </w:r>
      <w:r w:rsidRPr="008E0255">
        <w:t xml:space="preserve"> </w:t>
      </w:r>
      <w:r w:rsidRPr="008E0255">
        <w:rPr>
          <w:b/>
          <w:bCs/>
        </w:rPr>
        <w:t>(</w:t>
      </w:r>
      <w:r w:rsidRPr="008E0255">
        <w:rPr>
          <w:b/>
          <w:bCs/>
          <w:i/>
          <w:iCs/>
        </w:rPr>
        <w:t>Standard or Pilot mix</w:t>
      </w:r>
      <w:r w:rsidRPr="008E0255">
        <w:rPr>
          <w:b/>
          <w:bCs/>
        </w:rPr>
        <w:t>):</w:t>
      </w:r>
      <w:r w:rsidRPr="008E0255">
        <w:t xml:space="preserve"> Standard</w:t>
      </w:r>
    </w:p>
    <w:p w14:paraId="7C5BFF14" w14:textId="77777777" w:rsidR="001E1218" w:rsidRPr="008E0255" w:rsidRDefault="001E1218" w:rsidP="001E1218">
      <w:pPr>
        <w:rPr>
          <w:b/>
          <w:bCs/>
        </w:rPr>
      </w:pPr>
      <w:r w:rsidRPr="008E0255">
        <w:rPr>
          <w:b/>
          <w:bCs/>
        </w:rPr>
        <w:t xml:space="preserve">Primary and Secondary Functions: </w:t>
      </w:r>
    </w:p>
    <w:p w14:paraId="7055944E" w14:textId="77777777" w:rsidR="001E1218" w:rsidRPr="008E0255" w:rsidRDefault="001E1218" w:rsidP="001E1218">
      <w:r w:rsidRPr="008E0255">
        <w:rPr>
          <w:rStyle w:val="IntenseEmphasis"/>
          <w:color w:val="2F5496" w:themeColor="accent1" w:themeShade="BF"/>
        </w:rPr>
        <w:t>Primary</w:t>
      </w:r>
      <w:r w:rsidRPr="008E0255">
        <w:t xml:space="preserve"> – Water quality benefits, soil stabilization and wildlife habitat</w:t>
      </w:r>
    </w:p>
    <w:p w14:paraId="1E275FDC" w14:textId="77777777" w:rsidR="001E1218" w:rsidRPr="008E0255" w:rsidRDefault="001E1218" w:rsidP="001E1218">
      <w:r w:rsidRPr="008E0255">
        <w:rPr>
          <w:rStyle w:val="IntenseEmphasis"/>
          <w:color w:val="2F5496" w:themeColor="accent1" w:themeShade="BF"/>
        </w:rPr>
        <w:t>Secondary</w:t>
      </w:r>
      <w:r w:rsidRPr="008E0255">
        <w:t xml:space="preserve"> – Carbon Sequestration, emission reductions, pollinator habitat (potential, depending on placement), songbird and other non-game wildlife habitat</w:t>
      </w:r>
    </w:p>
    <w:p w14:paraId="67954792" w14:textId="77777777" w:rsidR="001E1218" w:rsidRPr="008E0255" w:rsidRDefault="001E1218" w:rsidP="001E1218">
      <w:pPr>
        <w:rPr>
          <w:b/>
          <w:bCs/>
        </w:rPr>
      </w:pPr>
      <w:r w:rsidRPr="008E0255">
        <w:rPr>
          <w:b/>
          <w:bCs/>
        </w:rPr>
        <w:t>Similar State Mixes:</w:t>
      </w:r>
      <w:r w:rsidRPr="008E0255">
        <w:t xml:space="preserve"> Mid-Diversity Mesic to Dry Buffer South &amp; West, Mid-Diversity Mesic to Dry Buffer South &amp; West South &amp; West, Mid-Diversity Moist Buffer NE, Native Forage Buffer South &amp; West, Low Diversity Floodplain Mix</w:t>
      </w:r>
    </w:p>
    <w:p w14:paraId="64E7A545" w14:textId="77777777" w:rsidR="001E1218" w:rsidRPr="008E0255" w:rsidRDefault="001E1218" w:rsidP="001E1218">
      <w:r w:rsidRPr="008E0255">
        <w:rPr>
          <w:b/>
          <w:bCs/>
        </w:rPr>
        <w:t>Compatible NRCS Practice Standards:</w:t>
      </w:r>
      <w:r w:rsidRPr="008E0255">
        <w:t xml:space="preserve"> 393</w:t>
      </w:r>
    </w:p>
    <w:p w14:paraId="25BC4439" w14:textId="77777777" w:rsidR="001E1218" w:rsidRPr="008E0255" w:rsidRDefault="001E1218" w:rsidP="001E1218">
      <w:r w:rsidRPr="008E0255">
        <w:rPr>
          <w:b/>
          <w:bCs/>
        </w:rPr>
        <w:t>Compatible Minnesota CRP Practices:</w:t>
      </w:r>
      <w:r w:rsidRPr="008E0255">
        <w:t xml:space="preserve"> CP21</w:t>
      </w:r>
    </w:p>
    <w:p w14:paraId="429217B9" w14:textId="77777777" w:rsidR="001E1218" w:rsidRPr="008E0255" w:rsidRDefault="001E1218" w:rsidP="001E1218">
      <w:pPr>
        <w:rPr>
          <w:b/>
          <w:bCs/>
        </w:rPr>
      </w:pPr>
    </w:p>
    <w:p w14:paraId="79A4E5F3" w14:textId="758039A5" w:rsidR="001E1218" w:rsidRPr="008E0255" w:rsidRDefault="001E1218" w:rsidP="001E1218">
      <w:r w:rsidRPr="008E0255">
        <w:rPr>
          <w:b/>
          <w:bCs/>
        </w:rPr>
        <w:t xml:space="preserve">Suitable Site Conditions: </w:t>
      </w:r>
      <w:r w:rsidRPr="008E0255">
        <w:t xml:space="preserve">Areas </w:t>
      </w:r>
      <w:r w:rsidR="00E15F8B">
        <w:t xml:space="preserve">with moist </w:t>
      </w:r>
      <w:proofErr w:type="gramStart"/>
      <w:r w:rsidR="00E15F8B">
        <w:t>soils</w:t>
      </w:r>
      <w:proofErr w:type="gramEnd"/>
      <w:r w:rsidRPr="008E0255">
        <w:t xml:space="preserve"> adjacent to a stream, wetland or lake is being converted from other uses such as agriculture or non-native grasses to a native prairie reconstruction. </w:t>
      </w:r>
    </w:p>
    <w:p w14:paraId="4616A200" w14:textId="77777777" w:rsidR="001E1218" w:rsidRPr="008E0255" w:rsidRDefault="001E1218" w:rsidP="001E1218"/>
    <w:p w14:paraId="6D51A440" w14:textId="2F5FD07E" w:rsidR="001E1218" w:rsidRPr="008E0255" w:rsidRDefault="001E1218" w:rsidP="001E1218">
      <w:r w:rsidRPr="008E0255">
        <w:rPr>
          <w:b/>
          <w:bCs/>
        </w:rPr>
        <w:t xml:space="preserve">How to Modify for Site Conditions and Goals: </w:t>
      </w:r>
      <w:r w:rsidRPr="008E0255">
        <w:t xml:space="preserve">This mix includes a list of additional species that can be considered to add species diversity. Site conditions such as sunlight, </w:t>
      </w:r>
      <w:proofErr w:type="gramStart"/>
      <w:r w:rsidRPr="008E0255">
        <w:t>soils</w:t>
      </w:r>
      <w:proofErr w:type="gramEnd"/>
      <w:r w:rsidRPr="008E0255">
        <w:t xml:space="preserve">, </w:t>
      </w:r>
      <w:r w:rsidR="00E8714A" w:rsidRPr="008E0255">
        <w:t>hydrology,</w:t>
      </w:r>
      <w:r w:rsidRPr="008E0255">
        <w:t xml:space="preserve"> and existing vegetation along with functional goals for the project such as carbon sequestration, pollinator habitat, and benefit to grassland bird species can all have an influence on species selection and the modification of seed mixes. </w:t>
      </w:r>
    </w:p>
    <w:p w14:paraId="70172BAD" w14:textId="77777777" w:rsidR="001E1218" w:rsidRPr="008E0255" w:rsidRDefault="001E1218" w:rsidP="001E1218"/>
    <w:p w14:paraId="43F37293" w14:textId="594C990D" w:rsidR="001E1218" w:rsidRPr="008E0255" w:rsidRDefault="001E1218" w:rsidP="001E1218">
      <w:pPr>
        <w:pStyle w:val="Default"/>
        <w:rPr>
          <w:sz w:val="22"/>
          <w:szCs w:val="22"/>
        </w:rPr>
      </w:pPr>
      <w:r w:rsidRPr="008E0255">
        <w:rPr>
          <w:b/>
          <w:bCs/>
          <w:sz w:val="22"/>
          <w:szCs w:val="22"/>
        </w:rPr>
        <w:t xml:space="preserve">Site Preparation: </w:t>
      </w:r>
      <w:r w:rsidRPr="008E0255">
        <w:rPr>
          <w:sz w:val="22"/>
          <w:szCs w:val="22"/>
        </w:rPr>
        <w:t xml:space="preserve">Primary goals for site preparation tend to focus on controlling weed species and providing ideal growing conditions for </w:t>
      </w:r>
      <w:proofErr w:type="gramStart"/>
      <w:r w:rsidRPr="008E0255">
        <w:rPr>
          <w:sz w:val="22"/>
          <w:szCs w:val="22"/>
        </w:rPr>
        <w:t>seed</w:t>
      </w:r>
      <w:proofErr w:type="gramEnd"/>
      <w:r w:rsidRPr="008E0255">
        <w:rPr>
          <w:sz w:val="22"/>
          <w:szCs w:val="22"/>
        </w:rPr>
        <w:t xml:space="preserve"> or plants to be installed. Site preparation methods vary depending on past uses of the site that can contribute to soil condition and the amount and type of problematic weed species present. The protection of microorganism populations and native seedbanks, preventing soil erosion, and managing weed establishment are all considerations during the site preparation process. In most cases, non-herbicide methods are preferred over methods that include repeated, intensive herbicide methods to protect aquatic organisms and soil microfauna, but on large acreages herbicides may be the most efficient method of controlling some invasive perennial species. It is common for many conservation plantings to transition from corn or soybean production. Fields that have been in agricultural production will need a chemical history </w:t>
      </w:r>
      <w:proofErr w:type="gramStart"/>
      <w:r w:rsidRPr="008E0255">
        <w:rPr>
          <w:sz w:val="22"/>
          <w:szCs w:val="22"/>
        </w:rPr>
        <w:t>in order to</w:t>
      </w:r>
      <w:proofErr w:type="gramEnd"/>
      <w:r w:rsidRPr="008E0255">
        <w:rPr>
          <w:sz w:val="22"/>
          <w:szCs w:val="22"/>
        </w:rPr>
        <w:t xml:space="preserve"> know if there will be herbicide carry-over that may prevent growth or harm vegetation establishment. Another consideration is that several chemicals being used for weed control, including Glyphosate act as pre-</w:t>
      </w:r>
      <w:proofErr w:type="spellStart"/>
      <w:r w:rsidRPr="008E0255">
        <w:rPr>
          <w:sz w:val="22"/>
          <w:szCs w:val="22"/>
        </w:rPr>
        <w:t>emergents</w:t>
      </w:r>
      <w:proofErr w:type="spellEnd"/>
      <w:r w:rsidRPr="008E0255">
        <w:rPr>
          <w:sz w:val="22"/>
          <w:szCs w:val="22"/>
        </w:rPr>
        <w:t xml:space="preserve"> or post-</w:t>
      </w:r>
      <w:proofErr w:type="spellStart"/>
      <w:r w:rsidRPr="008E0255">
        <w:rPr>
          <w:sz w:val="22"/>
          <w:szCs w:val="22"/>
        </w:rPr>
        <w:t>emergents</w:t>
      </w:r>
      <w:proofErr w:type="spellEnd"/>
      <w:r w:rsidRPr="008E0255">
        <w:rPr>
          <w:sz w:val="22"/>
          <w:szCs w:val="22"/>
        </w:rPr>
        <w:t xml:space="preserve"> (designed to inhibit germination) and can be a problem for native vegetation </w:t>
      </w:r>
      <w:proofErr w:type="gramStart"/>
      <w:r w:rsidRPr="008E0255">
        <w:rPr>
          <w:sz w:val="22"/>
          <w:szCs w:val="22"/>
        </w:rPr>
        <w:t>establishment</w:t>
      </w:r>
      <w:proofErr w:type="gramEnd"/>
      <w:r w:rsidRPr="008E0255">
        <w:rPr>
          <w:sz w:val="22"/>
          <w:szCs w:val="22"/>
        </w:rPr>
        <w:t xml:space="preserve"> from seed. Investigate prior chemical use and labels to help define probability of having chemical carryover that could/should be addressed by using temporary cover crops to allow time for chemicals to break down. If a site is dominated by problematic perennial weeds such as smooth brome, quack </w:t>
      </w:r>
      <w:r w:rsidR="00E8714A" w:rsidRPr="008E0255">
        <w:rPr>
          <w:sz w:val="22"/>
          <w:szCs w:val="22"/>
        </w:rPr>
        <w:t>grass,</w:t>
      </w:r>
      <w:r w:rsidRPr="008E0255">
        <w:rPr>
          <w:sz w:val="22"/>
          <w:szCs w:val="22"/>
        </w:rPr>
        <w:t xml:space="preserve"> or bluegrass, it will need to have a longer site prep time prior to planting. One way to do this is to use 1-2 seasons of agricultural row-crops or densely seeded temporary covers. Temporary covers both act to smother problematic weeds and improve overall soil structure and function.  For sites in agricultural production, herbicide application is often recommended, as tilling alone may re-suspend the rhizomes, allowing them to continue growing.</w:t>
      </w:r>
    </w:p>
    <w:p w14:paraId="6D7F4C70" w14:textId="77777777" w:rsidR="001E1218" w:rsidRPr="008E0255" w:rsidRDefault="001E1218" w:rsidP="001E1218">
      <w:pPr>
        <w:pStyle w:val="Default"/>
        <w:rPr>
          <w:sz w:val="22"/>
          <w:szCs w:val="22"/>
        </w:rPr>
      </w:pPr>
    </w:p>
    <w:p w14:paraId="47A45920" w14:textId="77777777" w:rsidR="001E1218" w:rsidRPr="008E0255" w:rsidRDefault="001E1218" w:rsidP="001E1218">
      <w:r w:rsidRPr="008E0255">
        <w:rPr>
          <w:b/>
          <w:bCs/>
        </w:rPr>
        <w:t xml:space="preserve">Seeding Dates: </w:t>
      </w:r>
      <w:r w:rsidRPr="008E0255">
        <w:rPr>
          <w:color w:val="000000"/>
        </w:rPr>
        <w:t xml:space="preserve">Native seed mixes can be installed in the spring or fall. Spring seedings should be done on or around May 1-July 1 when soil temperatures are at least 60 degrees Fahrenheit or higher. Fall seeding should occur when soil temperatures fall below 50 degrees Fahrenheit for a consistent </w:t>
      </w:r>
      <w:proofErr w:type="gramStart"/>
      <w:r w:rsidRPr="008E0255">
        <w:rPr>
          <w:color w:val="000000"/>
        </w:rPr>
        <w:t>period of time</w:t>
      </w:r>
      <w:proofErr w:type="gramEnd"/>
      <w:r w:rsidRPr="008E0255">
        <w:rPr>
          <w:color w:val="000000"/>
        </w:rPr>
        <w:t xml:space="preserve"> (usually around October 15 in the northern half of the state and November 1 in the southern half of the state). Fall dormant seedings can help reduce weed pressure during the first year of growth because </w:t>
      </w:r>
      <w:proofErr w:type="gramStart"/>
      <w:r w:rsidRPr="008E0255">
        <w:rPr>
          <w:color w:val="000000"/>
        </w:rPr>
        <w:t>cool-season</w:t>
      </w:r>
      <w:proofErr w:type="gramEnd"/>
      <w:r w:rsidRPr="008E0255">
        <w:rPr>
          <w:color w:val="000000"/>
        </w:rPr>
        <w:t xml:space="preserve"> grasses and forbs germinate earlier and start competing with weed species right away. For wet sites or sites prone to flooding, a fall seeding may be ideal to avoid wet conditions that are more common in the spring than in the fall. Frost seedings are also an option if the snow cover is not too deep. For </w:t>
      </w:r>
      <w:proofErr w:type="gramStart"/>
      <w:r w:rsidRPr="008E0255">
        <w:rPr>
          <w:color w:val="000000"/>
        </w:rPr>
        <w:t>a frost</w:t>
      </w:r>
      <w:proofErr w:type="gramEnd"/>
      <w:r w:rsidRPr="008E0255">
        <w:rPr>
          <w:color w:val="000000"/>
        </w:rPr>
        <w:t xml:space="preserve"> seeding, seeding rates may need to be increased by 25 percent due to lower germination rates and loss of seed that is consumed by wildlife over the winter months. In general, grasses are most successful with </w:t>
      </w:r>
      <w:proofErr w:type="gramStart"/>
      <w:r w:rsidRPr="008E0255">
        <w:rPr>
          <w:color w:val="000000"/>
        </w:rPr>
        <w:t>a spring</w:t>
      </w:r>
      <w:proofErr w:type="gramEnd"/>
      <w:r w:rsidRPr="008E0255">
        <w:rPr>
          <w:color w:val="000000"/>
        </w:rPr>
        <w:t xml:space="preserve">/early summer seeding while forbs are most successful with a fall dormant seeding, as most forbs require a winter to break their seed dormancy before they can start growing. </w:t>
      </w:r>
      <w:r w:rsidRPr="008E0255">
        <w:t>Planting dates will vary depending on the weather in a particular year and where the planting site is located (e.g., northern Minnesota versus southern Minnesota). Consult with native seed suppliers to determine the best planting dates for that year.</w:t>
      </w:r>
    </w:p>
    <w:p w14:paraId="06FC04F5" w14:textId="77777777" w:rsidR="001E1218" w:rsidRPr="008E0255" w:rsidRDefault="001E1218" w:rsidP="001E1218">
      <w:pPr>
        <w:spacing w:before="120"/>
        <w:rPr>
          <w:color w:val="000000"/>
        </w:rPr>
      </w:pPr>
    </w:p>
    <w:p w14:paraId="0D56E6CD" w14:textId="77777777" w:rsidR="001E1218" w:rsidRPr="008E0255" w:rsidRDefault="001E1218" w:rsidP="001E1218">
      <w:pPr>
        <w:pStyle w:val="Default"/>
        <w:rPr>
          <w:sz w:val="22"/>
          <w:szCs w:val="22"/>
        </w:rPr>
      </w:pPr>
      <w:r w:rsidRPr="008E0255">
        <w:rPr>
          <w:b/>
          <w:bCs/>
          <w:sz w:val="22"/>
          <w:szCs w:val="22"/>
        </w:rPr>
        <w:t>Seedbed preparation</w:t>
      </w:r>
      <w:proofErr w:type="gramStart"/>
      <w:r w:rsidRPr="008E0255">
        <w:rPr>
          <w:b/>
          <w:bCs/>
          <w:sz w:val="22"/>
          <w:szCs w:val="22"/>
        </w:rPr>
        <w:t xml:space="preserve">:  </w:t>
      </w:r>
      <w:r w:rsidRPr="008E0255">
        <w:rPr>
          <w:sz w:val="22"/>
          <w:szCs w:val="22"/>
        </w:rPr>
        <w:t>Methods</w:t>
      </w:r>
      <w:proofErr w:type="gramEnd"/>
      <w:r w:rsidRPr="008E0255">
        <w:rPr>
          <w:sz w:val="22"/>
          <w:szCs w:val="22"/>
        </w:rPr>
        <w:t xml:space="preserve"> that are used to prepare a seedbed can vary depending on the type of seeding equipment to be used. If a traditional native seed drill </w:t>
      </w:r>
      <w:proofErr w:type="gramStart"/>
      <w:r w:rsidRPr="008E0255">
        <w:rPr>
          <w:sz w:val="22"/>
          <w:szCs w:val="22"/>
        </w:rPr>
        <w:t>will be</w:t>
      </w:r>
      <w:proofErr w:type="gramEnd"/>
      <w:r w:rsidRPr="008E0255">
        <w:rPr>
          <w:sz w:val="22"/>
          <w:szCs w:val="22"/>
        </w:rPr>
        <w:t xml:space="preserv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w:t>
      </w:r>
      <w:proofErr w:type="gramStart"/>
      <w:r w:rsidRPr="008E0255">
        <w:rPr>
          <w:sz w:val="22"/>
          <w:szCs w:val="22"/>
        </w:rPr>
        <w:t>as long as</w:t>
      </w:r>
      <w:proofErr w:type="gramEnd"/>
      <w:r w:rsidRPr="008E0255">
        <w:rPr>
          <w:sz w:val="22"/>
          <w:szCs w:val="22"/>
        </w:rPr>
        <w:t xml:space="preserve"> the soil is allowed to settle before seeding. Some practitioners have found that broadcast seeding on a smooth surface (not tilled or disked) leads to the establishment of higher diversity. It is important that the soil surface is not too hard packed, so </w:t>
      </w:r>
      <w:proofErr w:type="spellStart"/>
      <w:r w:rsidRPr="008E0255">
        <w:rPr>
          <w:sz w:val="22"/>
          <w:szCs w:val="22"/>
        </w:rPr>
        <w:t>cultipacking</w:t>
      </w:r>
      <w:proofErr w:type="spellEnd"/>
      <w:r w:rsidRPr="008E0255">
        <w:rPr>
          <w:sz w:val="22"/>
          <w:szCs w:val="22"/>
        </w:rPr>
        <w:t xml:space="preserve"> or light harrowing of crop fields before broadcast seeding may be needed. Seed can be lost on smooth surfaces, so it is recommended to seed into temporary cover crops or to roll sites after seeding.</w:t>
      </w:r>
    </w:p>
    <w:p w14:paraId="59E0F800" w14:textId="77777777" w:rsidR="001E1218" w:rsidRPr="008E0255" w:rsidRDefault="001E1218" w:rsidP="001E1218">
      <w:pPr>
        <w:spacing w:before="120"/>
      </w:pPr>
    </w:p>
    <w:p w14:paraId="2696F450" w14:textId="77777777" w:rsidR="001E1218" w:rsidRPr="008E0255" w:rsidRDefault="001E1218" w:rsidP="001E1218">
      <w:pPr>
        <w:rPr>
          <w:color w:val="000000"/>
        </w:rPr>
      </w:pPr>
      <w:r w:rsidRPr="008E0255">
        <w:rPr>
          <w:rFonts w:asciiTheme="minorHAnsi" w:hAnsiTheme="minorHAnsi" w:cstheme="minorHAnsi"/>
          <w:b/>
          <w:bCs/>
          <w:color w:val="000000"/>
        </w:rPr>
        <w:t>Temporary Cover Crops and Mulch:</w:t>
      </w:r>
      <w:r w:rsidRPr="008E0255">
        <w:rPr>
          <w:rFonts w:asciiTheme="minorHAnsi" w:hAnsiTheme="minorHAnsi" w:cstheme="minorHAnsi"/>
          <w:b/>
          <w:bCs/>
          <w:i/>
          <w:iCs/>
          <w:color w:val="000000"/>
        </w:rPr>
        <w:t xml:space="preserve"> </w:t>
      </w:r>
      <w:r w:rsidRPr="008E0255">
        <w:rPr>
          <w:color w:val="000000"/>
        </w:rPr>
        <w:t xml:space="preserve">The use of short-lived temporary cover crops help stabilize project sites and minimize the need for additional mulch in preparation of planting native seed mixes. They can also provide time to observe weed problems, and to allow for proper weed control before </w:t>
      </w:r>
      <w:proofErr w:type="gramStart"/>
      <w:r w:rsidRPr="008E0255">
        <w:rPr>
          <w:color w:val="000000"/>
        </w:rPr>
        <w:t>fall</w:t>
      </w:r>
      <w:proofErr w:type="gramEnd"/>
      <w:r w:rsidRPr="008E0255">
        <w:rPr>
          <w:color w:val="000000"/>
        </w:rPr>
        <w:t xml:space="preserve"> seeding. Temporary cover crops such as oats or winter wheat (the two species </w:t>
      </w:r>
      <w:proofErr w:type="gramStart"/>
      <w:r w:rsidRPr="008E0255">
        <w:rPr>
          <w:color w:val="000000"/>
        </w:rPr>
        <w:t>most commonly used</w:t>
      </w:r>
      <w:proofErr w:type="gramEnd"/>
      <w:r w:rsidRPr="008E0255">
        <w:rPr>
          <w:color w:val="000000"/>
        </w:rPr>
        <w:t xml:space="preserve">)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Also see NRCS Agronomy Technical Note 31. If you are seeding into a temporary cover, it is recommended to use a native grass drill to maximize seed to soil contact. When using a broadcast </w:t>
      </w:r>
      <w:proofErr w:type="gramStart"/>
      <w:r w:rsidRPr="008E0255">
        <w:rPr>
          <w:color w:val="000000"/>
        </w:rPr>
        <w:t>seeder</w:t>
      </w:r>
      <w:proofErr w:type="gramEnd"/>
      <w:r w:rsidRPr="008E0255">
        <w:rPr>
          <w:color w:val="000000"/>
        </w:rPr>
        <w:t>, it is recommended to increase seeding rates to maximize the seed to soil contact.</w:t>
      </w:r>
    </w:p>
    <w:p w14:paraId="08277283" w14:textId="77777777" w:rsidR="001E1218" w:rsidRPr="008E0255" w:rsidRDefault="001E1218" w:rsidP="001E1218">
      <w:pPr>
        <w:autoSpaceDE w:val="0"/>
        <w:autoSpaceDN w:val="0"/>
        <w:adjustRightInd w:val="0"/>
        <w:spacing w:before="120"/>
        <w:rPr>
          <w:rFonts w:asciiTheme="minorHAnsi" w:hAnsiTheme="minorHAnsi" w:cstheme="minorHAnsi"/>
          <w:color w:val="000000"/>
        </w:rPr>
      </w:pPr>
      <w:r w:rsidRPr="008E0255">
        <w:rPr>
          <w:rFonts w:asciiTheme="minorHAnsi" w:hAnsiTheme="minorHAnsi" w:cstheme="minorHAnsi"/>
          <w:b/>
          <w:bCs/>
          <w:i/>
          <w:iCs/>
          <w:color w:val="000000"/>
        </w:rPr>
        <w:t xml:space="preserve"> </w:t>
      </w:r>
    </w:p>
    <w:p w14:paraId="6C60D012" w14:textId="5448A2F5" w:rsidR="001E1218" w:rsidRPr="008E0255" w:rsidRDefault="001E1218" w:rsidP="001E1218">
      <w:r w:rsidRPr="008E0255">
        <w:rPr>
          <w:b/>
          <w:bCs/>
        </w:rPr>
        <w:t xml:space="preserve">Seeding Methods: </w:t>
      </w:r>
      <w:r w:rsidRPr="008E0255">
        <w:t xml:space="preserve">A variety of seeding equipment is used for upland prairie seeding including broadcast seeders, traditional native seed drills, no-till drills, Brillion seeders and Trillion seeders. Specialized native seed drills can handle a wide variety of seed (fluffy, smooth, large and small) and low seeding rates. Since no-till drilling can </w:t>
      </w:r>
      <w:proofErr w:type="gramStart"/>
      <w:r w:rsidRPr="008E0255">
        <w:t>plant</w:t>
      </w:r>
      <w:proofErr w:type="gramEnd"/>
      <w:r w:rsidRPr="008E0255">
        <w:t xml:space="preserve">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  For broadcast seeding equipment should be used that is designed to spread mixes with different sized seeds (</w:t>
      </w:r>
      <w:r w:rsidR="000D414A" w:rsidRPr="008E0255">
        <w:t>e.g.,</w:t>
      </w:r>
      <w:r w:rsidRPr="008E0255">
        <w:t xml:space="preserve"> Vicon Seeders).</w:t>
      </w:r>
    </w:p>
    <w:p w14:paraId="591B437D" w14:textId="77777777" w:rsidR="001E1218" w:rsidRPr="008E0255" w:rsidRDefault="001E1218" w:rsidP="001E1218">
      <w:pPr>
        <w:spacing w:before="120"/>
        <w:rPr>
          <w:b/>
          <w:bCs/>
        </w:rPr>
      </w:pPr>
    </w:p>
    <w:p w14:paraId="05F9037B" w14:textId="77777777" w:rsidR="001E1218" w:rsidRPr="008E0255" w:rsidRDefault="001E1218" w:rsidP="001E1218">
      <w:pPr>
        <w:spacing w:before="120"/>
        <w:rPr>
          <w:b/>
          <w:bCs/>
        </w:rPr>
      </w:pPr>
      <w:r w:rsidRPr="008E0255">
        <w:rPr>
          <w:b/>
          <w:bCs/>
        </w:rPr>
        <w:t xml:space="preserve">Management Methods </w:t>
      </w:r>
    </w:p>
    <w:p w14:paraId="3D073CD5" w14:textId="77777777" w:rsidR="001E1218" w:rsidRPr="008E0255" w:rsidRDefault="001E1218" w:rsidP="001E1218">
      <w:pPr>
        <w:spacing w:before="120"/>
        <w:rPr>
          <w:rFonts w:asciiTheme="minorHAnsi" w:hAnsiTheme="minorHAnsi" w:cstheme="minorHAnsi"/>
          <w:i/>
          <w:iCs/>
          <w:color w:val="2F5496" w:themeColor="accent1" w:themeShade="BF"/>
        </w:rPr>
      </w:pPr>
      <w:r w:rsidRPr="008E0255">
        <w:rPr>
          <w:rFonts w:asciiTheme="minorHAnsi" w:hAnsiTheme="minorHAnsi" w:cstheme="minorHAnsi"/>
          <w:i/>
          <w:iCs/>
          <w:color w:val="2F5496" w:themeColor="accent1" w:themeShade="BF"/>
        </w:rPr>
        <w:t>Integrated Pest Management</w:t>
      </w:r>
      <w:r w:rsidRPr="008E0255">
        <w:rPr>
          <w:rFonts w:asciiTheme="minorHAnsi" w:hAnsiTheme="minorHAnsi" w:cstheme="minorHAnsi"/>
          <w:i/>
          <w:iCs/>
        </w:rPr>
        <w:t xml:space="preserve"> – </w:t>
      </w:r>
      <w:r w:rsidRPr="008E0255">
        <w:rPr>
          <w:rFonts w:cstheme="minorHAnsi"/>
          <w:color w:val="212121"/>
          <w:shd w:val="clear" w:color="auto" w:fill="FFFFFF"/>
        </w:rPr>
        <w:t xml:space="preserve">Land managers and seed mix practitioners should utilize </w:t>
      </w:r>
      <w:hyperlink r:id="rId11" w:history="1">
        <w:r w:rsidRPr="008E0255">
          <w:rPr>
            <w:rStyle w:val="Hyperlink"/>
            <w:rFonts w:cstheme="minorHAnsi"/>
            <w:color w:val="2F5496" w:themeColor="accent1" w:themeShade="BF"/>
            <w:shd w:val="clear" w:color="auto" w:fill="FFFFFF"/>
          </w:rPr>
          <w:t>Integrated Pest Management</w:t>
        </w:r>
      </w:hyperlink>
      <w:r w:rsidRPr="008E0255">
        <w:rPr>
          <w:rFonts w:cstheme="minorHAnsi"/>
          <w:color w:val="212121"/>
          <w:shd w:val="clear" w:color="auto" w:fill="FFFFFF"/>
        </w:rPr>
        <w:t xml:space="preserve"> in their efforts to establish and manage plantings.  </w:t>
      </w:r>
      <w:r w:rsidRPr="008E0255">
        <w:rPr>
          <w:rFonts w:cstheme="minorHAnsi"/>
        </w:rPr>
        <w:t>Integrated Pest Management</w:t>
      </w:r>
      <w:r w:rsidRPr="008E0255">
        <w:rPr>
          <w:rFonts w:asciiTheme="minorHAnsi" w:hAnsiTheme="minorHAnsi" w:cstheme="minorHAnsi"/>
        </w:rPr>
        <w:t xml:space="preserve">, or IPM, </w:t>
      </w:r>
      <w:r w:rsidRPr="008E0255">
        <w:rPr>
          <w:rFonts w:asciiTheme="minorHAnsi" w:hAnsiTheme="minorHAnsi" w:cstheme="minorHAnsi"/>
          <w:color w:val="212121"/>
          <w:shd w:val="clear" w:color="auto" w:fill="FFFFFF"/>
        </w:rPr>
        <w:t>is an environmentally sensitive approach to pest management that relies on the use of a combination of practices (conservation grazing, haying, prescribed burning, etc.)</w:t>
      </w:r>
      <w:r w:rsidRPr="008E0255">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14:paraId="59B5853A" w14:textId="77777777" w:rsidR="001E1218" w:rsidRPr="008E0255" w:rsidRDefault="001E1218" w:rsidP="001E1218">
      <w:pPr>
        <w:spacing w:before="120"/>
        <w:rPr>
          <w:rFonts w:asciiTheme="minorHAnsi" w:hAnsiTheme="minorHAnsi" w:cstheme="minorHAnsi"/>
          <w:i/>
          <w:iCs/>
          <w:color w:val="2F5496" w:themeColor="accent1" w:themeShade="BF"/>
        </w:rPr>
      </w:pPr>
      <w:r w:rsidRPr="008E0255">
        <w:rPr>
          <w:rFonts w:asciiTheme="minorHAnsi" w:hAnsiTheme="minorHAnsi" w:cstheme="minorHAnsi"/>
          <w:i/>
          <w:iCs/>
          <w:color w:val="2F5496" w:themeColor="accent1" w:themeShade="BF"/>
        </w:rPr>
        <w:t xml:space="preserve">Establishment Mowing </w:t>
      </w:r>
      <w:r w:rsidRPr="008E0255">
        <w:rPr>
          <w:rFonts w:asciiTheme="minorHAnsi" w:hAnsiTheme="minorHAnsi" w:cstheme="minorHAnsi"/>
          <w:i/>
          <w:iCs/>
        </w:rPr>
        <w:t>–</w:t>
      </w:r>
      <w:r w:rsidRPr="008E0255">
        <w:rPr>
          <w:rFonts w:asciiTheme="minorHAnsi" w:hAnsiTheme="minorHAnsi" w:cstheme="minorHAnsi"/>
          <w:i/>
          <w:iCs/>
          <w:color w:val="2F5496" w:themeColor="accent1" w:themeShade="BF"/>
        </w:rPr>
        <w:t xml:space="preserve"> </w:t>
      </w:r>
      <w:r w:rsidRPr="008E0255">
        <w:t xml:space="preserve">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w:t>
      </w:r>
      <w:proofErr w:type="gramStart"/>
      <w:r w:rsidRPr="008E0255">
        <w:t>seeding</w:t>
      </w:r>
      <w:proofErr w:type="gramEnd"/>
      <w:r w:rsidRPr="008E0255">
        <w:t xml:space="preserve">.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p>
    <w:p w14:paraId="23C4F7B6" w14:textId="7EDEB73B" w:rsidR="001E1218" w:rsidRPr="008E0255" w:rsidRDefault="001E1218" w:rsidP="001E1218">
      <w:pPr>
        <w:pStyle w:val="Default"/>
        <w:spacing w:before="120"/>
        <w:rPr>
          <w:rFonts w:asciiTheme="minorHAnsi" w:hAnsiTheme="minorHAnsi" w:cstheme="minorHAnsi"/>
          <w:color w:val="0070C0"/>
          <w:sz w:val="22"/>
          <w:szCs w:val="22"/>
        </w:rPr>
      </w:pPr>
      <w:bookmarkStart w:id="5" w:name="_Hlk60209216"/>
      <w:r w:rsidRPr="008E0255">
        <w:rPr>
          <w:rFonts w:asciiTheme="minorHAnsi" w:hAnsiTheme="minorHAnsi" w:cstheme="minorHAnsi"/>
          <w:i/>
          <w:iCs/>
          <w:color w:val="2F5496" w:themeColor="accent1" w:themeShade="BF"/>
          <w:sz w:val="22"/>
          <w:szCs w:val="22"/>
        </w:rPr>
        <w:t>Prescribed Burning</w:t>
      </w:r>
      <w:bookmarkEnd w:id="5"/>
      <w:r w:rsidRPr="008E0255">
        <w:rPr>
          <w:rFonts w:asciiTheme="minorHAnsi" w:hAnsiTheme="minorHAnsi" w:cstheme="minorHAnsi"/>
          <w:i/>
          <w:iCs/>
          <w:color w:val="auto"/>
          <w:sz w:val="22"/>
          <w:szCs w:val="22"/>
        </w:rPr>
        <w:t xml:space="preserve"> </w:t>
      </w:r>
      <w:r w:rsidRPr="008E0255">
        <w:rPr>
          <w:rFonts w:asciiTheme="minorHAnsi" w:hAnsiTheme="minorHAnsi" w:cstheme="minorHAnsi"/>
          <w:color w:val="auto"/>
          <w:sz w:val="22"/>
          <w:szCs w:val="22"/>
        </w:rPr>
        <w:t xml:space="preserve">– </w:t>
      </w:r>
      <w:r w:rsidRPr="008E0255">
        <w:rPr>
          <w:sz w:val="22"/>
          <w:szCs w:val="22"/>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w:t>
      </w:r>
      <w:proofErr w:type="gramStart"/>
      <w:r w:rsidRPr="008E0255">
        <w:rPr>
          <w:sz w:val="22"/>
          <w:szCs w:val="22"/>
        </w:rPr>
        <w:t>years</w:t>
      </w:r>
      <w:proofErr w:type="gramEnd"/>
      <w:r w:rsidRPr="008E0255">
        <w:rPr>
          <w:sz w:val="22"/>
          <w:szCs w:val="22"/>
        </w:rPr>
        <w:t xml:space="preserve"> of establishment, after native vegetation is reaching maturity. Uplands benefit from burning every three to five years. The timing of a burn </w:t>
      </w:r>
      <w:r w:rsidR="000D414A" w:rsidRPr="008E0255">
        <w:rPr>
          <w:sz w:val="22"/>
          <w:szCs w:val="22"/>
        </w:rPr>
        <w:t>helps</w:t>
      </w:r>
      <w:r w:rsidRPr="008E0255">
        <w:rPr>
          <w:sz w:val="22"/>
          <w:szCs w:val="22"/>
        </w:rPr>
        <w:t xml:space="preserve">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foraging or pollinators have pupated and are mobile). </w:t>
      </w:r>
    </w:p>
    <w:p w14:paraId="565FBB56" w14:textId="77777777" w:rsidR="001E1218" w:rsidRPr="008E0255" w:rsidRDefault="001E1218" w:rsidP="001E1218">
      <w:pPr>
        <w:pStyle w:val="Default"/>
        <w:spacing w:before="120"/>
        <w:rPr>
          <w:rFonts w:asciiTheme="minorHAnsi" w:hAnsiTheme="minorHAnsi" w:cstheme="minorHAnsi"/>
          <w:color w:val="2F5496" w:themeColor="accent1" w:themeShade="BF"/>
          <w:sz w:val="22"/>
          <w:szCs w:val="22"/>
        </w:rPr>
      </w:pPr>
      <w:r w:rsidRPr="008E0255">
        <w:rPr>
          <w:rFonts w:asciiTheme="minorHAnsi" w:hAnsiTheme="minorHAnsi" w:cstheme="minorHAnsi"/>
          <w:i/>
          <w:iCs/>
          <w:color w:val="2F5496" w:themeColor="accent1" w:themeShade="BF"/>
          <w:sz w:val="22"/>
          <w:szCs w:val="22"/>
        </w:rPr>
        <w:t xml:space="preserve">Spot Mowing </w:t>
      </w:r>
      <w:r w:rsidRPr="008E0255">
        <w:rPr>
          <w:rFonts w:asciiTheme="minorHAnsi" w:hAnsiTheme="minorHAnsi" w:cstheme="minorHAnsi"/>
          <w:i/>
          <w:iCs/>
          <w:color w:val="auto"/>
          <w:sz w:val="22"/>
          <w:szCs w:val="22"/>
        </w:rPr>
        <w:t>–</w:t>
      </w:r>
      <w:r w:rsidRPr="008E0255">
        <w:rPr>
          <w:rFonts w:asciiTheme="minorHAnsi" w:hAnsiTheme="minorHAnsi" w:cstheme="minorHAnsi"/>
          <w:i/>
          <w:iCs/>
          <w:color w:val="2F5496" w:themeColor="accent1" w:themeShade="BF"/>
          <w:sz w:val="22"/>
          <w:szCs w:val="22"/>
        </w:rPr>
        <w:t xml:space="preserve"> </w:t>
      </w:r>
      <w:r w:rsidRPr="008E0255">
        <w:rPr>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w:t>
      </w:r>
      <w:proofErr w:type="gramStart"/>
      <w:r w:rsidRPr="008E0255">
        <w:rPr>
          <w:sz w:val="22"/>
          <w:szCs w:val="22"/>
        </w:rPr>
        <w:t>in order to</w:t>
      </w:r>
      <w:proofErr w:type="gramEnd"/>
      <w:r w:rsidRPr="008E0255">
        <w:rPr>
          <w:sz w:val="22"/>
          <w:szCs w:val="22"/>
        </w:rPr>
        <w:t xml:space="preserve">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p>
    <w:p w14:paraId="31A2B141" w14:textId="77777777" w:rsidR="001E1218" w:rsidRPr="008E0255" w:rsidRDefault="001E1218" w:rsidP="001E1218">
      <w:pPr>
        <w:pStyle w:val="Default"/>
        <w:spacing w:before="120"/>
        <w:rPr>
          <w:rFonts w:eastAsia="Calibri"/>
          <w:color w:val="000000" w:themeColor="text1"/>
          <w:sz w:val="22"/>
          <w:szCs w:val="22"/>
        </w:rPr>
      </w:pPr>
      <w:r w:rsidRPr="008E0255">
        <w:rPr>
          <w:rFonts w:asciiTheme="minorHAnsi" w:hAnsiTheme="minorHAnsi" w:cstheme="minorBidi"/>
          <w:i/>
          <w:iCs/>
          <w:color w:val="2F5496" w:themeColor="accent1" w:themeShade="BF"/>
          <w:sz w:val="22"/>
          <w:szCs w:val="22"/>
        </w:rPr>
        <w:t xml:space="preserve">Spot Management of Weeds </w:t>
      </w:r>
      <w:r w:rsidRPr="008E0255">
        <w:rPr>
          <w:rFonts w:asciiTheme="minorHAnsi" w:hAnsiTheme="minorHAnsi" w:cstheme="minorBidi"/>
          <w:color w:val="auto"/>
          <w:sz w:val="22"/>
          <w:szCs w:val="22"/>
        </w:rPr>
        <w:t xml:space="preserve">– </w:t>
      </w:r>
      <w:r w:rsidRPr="008E0255">
        <w:rPr>
          <w:sz w:val="22"/>
          <w:szCs w:val="22"/>
        </w:rPr>
        <w:t xml:space="preserve">Problematic perennial weeds that cannot be managed effectively with other methods may require digging, pulling, smothering or spot treatment with herbicide for sufficient control. </w:t>
      </w:r>
      <w:r w:rsidRPr="008E0255">
        <w:rPr>
          <w:sz w:val="22"/>
          <w:szCs w:val="22"/>
        </w:rPr>
        <w:lastRenderedPageBreak/>
        <w:t xml:space="preserve">Examples include reed canary grass, smooth brome, quack grass, purple loosestrife, Canada thistle, Kentucky bluegrass, crown vetch, and birds-foot trefoil. These methods often are not conducted during the first year of establishment due to potential impact to native plant seedlings, but it may be important to control some weeds before they have a chance to spread. If herbicides </w:t>
      </w:r>
      <w:proofErr w:type="gramStart"/>
      <w:r w:rsidRPr="008E0255">
        <w:rPr>
          <w:sz w:val="22"/>
          <w:szCs w:val="22"/>
        </w:rPr>
        <w:t>will be</w:t>
      </w:r>
      <w:proofErr w:type="gramEnd"/>
      <w:r w:rsidRPr="008E0255">
        <w:rPr>
          <w:sz w:val="22"/>
          <w:szCs w:val="22"/>
        </w:rPr>
        <w:t xml:space="preserve"> used it is important that </w:t>
      </w:r>
      <w:r w:rsidRPr="008E0255">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Pr="008E0255">
        <w:rPr>
          <w:sz w:val="22"/>
          <w:szCs w:val="22"/>
        </w:rPr>
        <w:t xml:space="preserve">hen pollinators and other insects are not active (A common approach is to mow or </w:t>
      </w:r>
      <w:proofErr w:type="gramStart"/>
      <w:r w:rsidRPr="008E0255">
        <w:rPr>
          <w:sz w:val="22"/>
          <w:szCs w:val="22"/>
        </w:rPr>
        <w:t>grazing</w:t>
      </w:r>
      <w:proofErr w:type="gramEnd"/>
      <w:r w:rsidRPr="008E0255">
        <w:rPr>
          <w:sz w:val="22"/>
          <w:szCs w:val="22"/>
        </w:rPr>
        <w:t xml:space="preserve"> invasive weeds in the summer followed by herbicide application in the fall). </w:t>
      </w:r>
      <w:r w:rsidRPr="008E0255">
        <w:rPr>
          <w:rFonts w:eastAsia="Calibri"/>
          <w:color w:val="000000" w:themeColor="text1"/>
          <w:sz w:val="22"/>
          <w:szCs w:val="22"/>
        </w:rPr>
        <w:t xml:space="preserve">Minimize herbicide first year/spot spray year 2. Unless significant </w:t>
      </w:r>
      <w:proofErr w:type="gramStart"/>
      <w:r w:rsidRPr="008E0255">
        <w:rPr>
          <w:rFonts w:eastAsia="Calibri"/>
          <w:color w:val="000000" w:themeColor="text1"/>
          <w:sz w:val="22"/>
          <w:szCs w:val="22"/>
        </w:rPr>
        <w:t>problem weeds</w:t>
      </w:r>
      <w:proofErr w:type="gramEnd"/>
      <w:r w:rsidRPr="008E0255">
        <w:rPr>
          <w:rFonts w:eastAsia="Calibri"/>
          <w:color w:val="000000" w:themeColor="text1"/>
          <w:sz w:val="22"/>
          <w:szCs w:val="22"/>
        </w:rPr>
        <w:t xml:space="preserve"> show up.</w:t>
      </w:r>
    </w:p>
    <w:p w14:paraId="4976CA61" w14:textId="77777777" w:rsidR="001E1218" w:rsidRPr="008E0255" w:rsidRDefault="001E1218" w:rsidP="001E1218">
      <w:pPr>
        <w:pStyle w:val="Default"/>
        <w:spacing w:before="120"/>
        <w:rPr>
          <w:rFonts w:eastAsia="Calibri"/>
          <w:color w:val="000000" w:themeColor="text1"/>
          <w:sz w:val="22"/>
          <w:szCs w:val="22"/>
        </w:rPr>
      </w:pPr>
    </w:p>
    <w:p w14:paraId="6D3EB4D1" w14:textId="77777777" w:rsidR="001E1218" w:rsidRPr="008E0255" w:rsidRDefault="001E1218" w:rsidP="001E1218">
      <w:r w:rsidRPr="008E0255">
        <w:rPr>
          <w:b/>
          <w:bCs/>
        </w:rPr>
        <w:t xml:space="preserve">What to Expect in Year 1: </w:t>
      </w:r>
      <w:r w:rsidRPr="008E0255">
        <w:t xml:space="preserve">During year one of growth many native grasses and flowers will remain about one to three inches tall. The mowing will play an important role to keep weeds managed so the native plant seedlings receive sufficient water and sunlight. The planting may have a somewhat weedy appearance this first year (see establishment mowing paragraph above). </w:t>
      </w:r>
    </w:p>
    <w:p w14:paraId="19AB9E01" w14:textId="77777777" w:rsidR="001E1218" w:rsidRPr="008E0255" w:rsidRDefault="001E1218" w:rsidP="001E1218">
      <w:r w:rsidRPr="008E0255">
        <w:t>(IMAGE)</w:t>
      </w:r>
    </w:p>
    <w:p w14:paraId="67D94B60" w14:textId="77777777" w:rsidR="001E1218" w:rsidRPr="008E0255" w:rsidRDefault="001E1218" w:rsidP="001E1218">
      <w:pPr>
        <w:spacing w:before="120"/>
        <w:rPr>
          <w:b/>
          <w:bCs/>
        </w:rPr>
      </w:pPr>
      <w:r w:rsidRPr="008E0255">
        <w:rPr>
          <w:b/>
          <w:bCs/>
        </w:rPr>
        <w:t xml:space="preserve">What to Expect in Year 2: </w:t>
      </w:r>
      <w:r w:rsidRPr="008E0255">
        <w:t>During year two the native grasses and flowers may reach their mature height and some of them may flower. Mowing may still play a key role in managing weeds and allowing seedlings to grow.</w:t>
      </w:r>
    </w:p>
    <w:p w14:paraId="162D98DD" w14:textId="77777777" w:rsidR="001E1218" w:rsidRPr="008E0255" w:rsidRDefault="001E1218" w:rsidP="001E1218">
      <w:r w:rsidRPr="008E0255">
        <w:t>(IMAGE)</w:t>
      </w:r>
    </w:p>
    <w:p w14:paraId="6E4E1AD8" w14:textId="77777777" w:rsidR="001E1218" w:rsidRPr="008E0255" w:rsidRDefault="001E1218" w:rsidP="001E1218">
      <w:pPr>
        <w:spacing w:before="120"/>
      </w:pPr>
      <w:r w:rsidRPr="008E0255">
        <w:rPr>
          <w:b/>
          <w:bCs/>
        </w:rPr>
        <w:t xml:space="preserve">What to Expect in Year 3 and Beyond: </w:t>
      </w:r>
      <w:r w:rsidRPr="008E0255">
        <w:t>By the end of year three most of the native plants will be nearing maturity and should flower. There may be some species that are slow to establish and may not show up for several years.</w:t>
      </w:r>
    </w:p>
    <w:p w14:paraId="4568B207" w14:textId="77777777" w:rsidR="001E1218" w:rsidRPr="008E0255" w:rsidRDefault="001E1218" w:rsidP="001E1218">
      <w:pPr>
        <w:spacing w:before="120"/>
      </w:pPr>
      <w:r w:rsidRPr="008E0255">
        <w:t>(IMAGE)</w:t>
      </w:r>
    </w:p>
    <w:p w14:paraId="5C827D33" w14:textId="77777777" w:rsidR="001E1218" w:rsidRPr="008E0255" w:rsidRDefault="001E1218" w:rsidP="001E1218">
      <w:pPr>
        <w:spacing w:before="120"/>
        <w:rPr>
          <w:b/>
          <w:bCs/>
        </w:rPr>
      </w:pPr>
      <w:r w:rsidRPr="008E0255">
        <w:rPr>
          <w:b/>
          <w:bCs/>
        </w:rPr>
        <w:t>Problem Solving</w:t>
      </w:r>
    </w:p>
    <w:p w14:paraId="1509F262" w14:textId="77777777" w:rsidR="001E1218" w:rsidRPr="008E0255" w:rsidRDefault="001E1218" w:rsidP="001E1218">
      <w:pPr>
        <w:spacing w:before="120"/>
      </w:pPr>
      <w:r w:rsidRPr="008E0255">
        <w:rPr>
          <w:rStyle w:val="IntenseEmphasis"/>
          <w:color w:val="2F5496" w:themeColor="accent1" w:themeShade="BF"/>
        </w:rPr>
        <w:t>Poor Establishment After Year 1</w:t>
      </w:r>
      <w:r w:rsidRPr="008E0255">
        <w:rPr>
          <w:color w:val="2F5496" w:themeColor="accent1" w:themeShade="BF"/>
        </w:rPr>
        <w:t xml:space="preserve"> </w:t>
      </w:r>
      <w:r w:rsidRPr="008E0255">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p>
    <w:p w14:paraId="39A45FCF" w14:textId="77777777" w:rsidR="001E1218" w:rsidRPr="008E0255" w:rsidRDefault="001E1218" w:rsidP="001E1218">
      <w:pPr>
        <w:spacing w:before="120"/>
      </w:pPr>
      <w:r w:rsidRPr="008E0255">
        <w:rPr>
          <w:rStyle w:val="IntenseEmphasis"/>
          <w:color w:val="2F5496" w:themeColor="accent1" w:themeShade="BF"/>
        </w:rPr>
        <w:t>Poor Establishment After Year 2</w:t>
      </w:r>
      <w:r w:rsidRPr="008E0255">
        <w:rPr>
          <w:color w:val="2F5496" w:themeColor="accent1" w:themeShade="BF"/>
        </w:rPr>
        <w:t xml:space="preserve"> </w:t>
      </w:r>
      <w:r w:rsidRPr="008E0255">
        <w:t xml:space="preserve">–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p>
    <w:p w14:paraId="71FC699A" w14:textId="77777777" w:rsidR="001E1218" w:rsidRPr="008E0255" w:rsidRDefault="001E1218" w:rsidP="001E1218">
      <w:pPr>
        <w:spacing w:before="120"/>
      </w:pPr>
      <w:r w:rsidRPr="008E0255">
        <w:rPr>
          <w:rStyle w:val="IntenseQuoteChar"/>
          <w:color w:val="2F5496" w:themeColor="accent1" w:themeShade="BF"/>
        </w:rPr>
        <w:t>High Annual and Biennial Weed Competition</w:t>
      </w:r>
      <w:r w:rsidRPr="008E0255">
        <w:rPr>
          <w:color w:val="2F5496" w:themeColor="accent1" w:themeShade="BF"/>
        </w:rPr>
        <w:t xml:space="preserve"> </w:t>
      </w:r>
      <w:r w:rsidRPr="008E0255">
        <w:t xml:space="preserve">– Typically, annual and biennial weed competition is not a big problem in prairie plantings as they are short lived and as long as mowing is conducted before seed is </w:t>
      </w:r>
      <w:proofErr w:type="gramStart"/>
      <w:r w:rsidRPr="008E0255">
        <w:t>set</w:t>
      </w:r>
      <w:proofErr w:type="gramEnd"/>
      <w:r w:rsidRPr="008E0255">
        <w:t xml:space="preserve"> they should not add additional seed into the planting. </w:t>
      </w:r>
    </w:p>
    <w:p w14:paraId="7B6C3E3D" w14:textId="77777777" w:rsidR="001E1218" w:rsidRPr="008E0255" w:rsidRDefault="001E1218" w:rsidP="001E1218">
      <w:pPr>
        <w:spacing w:before="120"/>
      </w:pPr>
      <w:r w:rsidRPr="008E0255">
        <w:rPr>
          <w:rStyle w:val="IntenseEmphasis"/>
          <w:color w:val="2F5496" w:themeColor="accent1" w:themeShade="BF"/>
        </w:rPr>
        <w:t>High Perennial Weed Competition</w:t>
      </w:r>
      <w:r w:rsidRPr="008E0255">
        <w:rPr>
          <w:color w:val="2F5496" w:themeColor="accent1" w:themeShade="BF"/>
        </w:rPr>
        <w:t xml:space="preserve"> </w:t>
      </w:r>
      <w:r w:rsidRPr="008E0255">
        <w:t xml:space="preserve">– Dense establishment of perennial species can be a problem as it can prevent the establishment of forbs. Prescribed burning, prescribed grazing, and/or herbicide application may be needed to manage perennial weeds.  </w:t>
      </w:r>
    </w:p>
    <w:p w14:paraId="029CAFC3" w14:textId="77777777" w:rsidR="001E1218" w:rsidRPr="008E0255" w:rsidRDefault="001E1218" w:rsidP="001E1218">
      <w:pPr>
        <w:spacing w:before="120"/>
      </w:pPr>
      <w:r w:rsidRPr="008E0255">
        <w:rPr>
          <w:rStyle w:val="IntenseEmphasis"/>
          <w:color w:val="2F5496" w:themeColor="accent1" w:themeShade="BF"/>
        </w:rPr>
        <w:t>Low Forb Diversity After Year 3</w:t>
      </w:r>
      <w:r w:rsidRPr="008E0255">
        <w:rPr>
          <w:color w:val="2F5496" w:themeColor="accent1" w:themeShade="BF"/>
        </w:rPr>
        <w:t xml:space="preserve"> </w:t>
      </w:r>
      <w:r w:rsidRPr="008E0255">
        <w:t xml:space="preserve">– If grasses and sedges are establishing successfully but there is a lack of forbs it is recommended to conduct inter-seeding of additional forbs in late fall or after a prescribed fire in spring or fall. See the </w:t>
      </w:r>
      <w:hyperlink r:id="rId12" w:history="1">
        <w:r w:rsidRPr="008E0255">
          <w:rPr>
            <w:rStyle w:val="Hyperlink"/>
            <w:color w:val="2F5496" w:themeColor="accent1" w:themeShade="BF"/>
          </w:rPr>
          <w:t>Xerces Society guide</w:t>
        </w:r>
      </w:hyperlink>
      <w:r w:rsidRPr="008E0255">
        <w:t xml:space="preserve"> for additional information about inter-seeding wildflowers.</w:t>
      </w:r>
    </w:p>
    <w:p w14:paraId="500F7A38" w14:textId="77777777" w:rsidR="001E1218" w:rsidRPr="008E0255" w:rsidRDefault="001E1218" w:rsidP="001E1218"/>
    <w:p w14:paraId="62045344" w14:textId="77777777" w:rsidR="00D22D84" w:rsidRDefault="00D22D84" w:rsidP="001E1218"/>
    <w:sectPr w:rsidR="00D22D84" w:rsidSect="00023E2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F6"/>
    <w:rsid w:val="000147E0"/>
    <w:rsid w:val="00023E23"/>
    <w:rsid w:val="0009627C"/>
    <w:rsid w:val="000D414A"/>
    <w:rsid w:val="000F1EA0"/>
    <w:rsid w:val="001C607D"/>
    <w:rsid w:val="001E1218"/>
    <w:rsid w:val="002164B2"/>
    <w:rsid w:val="002A42B9"/>
    <w:rsid w:val="002C353B"/>
    <w:rsid w:val="003F348B"/>
    <w:rsid w:val="0041261A"/>
    <w:rsid w:val="004845A7"/>
    <w:rsid w:val="005B2FA1"/>
    <w:rsid w:val="005B6905"/>
    <w:rsid w:val="005E18D6"/>
    <w:rsid w:val="00677EFB"/>
    <w:rsid w:val="006C6B13"/>
    <w:rsid w:val="007619B2"/>
    <w:rsid w:val="0077499F"/>
    <w:rsid w:val="007764EF"/>
    <w:rsid w:val="008937B2"/>
    <w:rsid w:val="008C12F5"/>
    <w:rsid w:val="009005F6"/>
    <w:rsid w:val="00944AD7"/>
    <w:rsid w:val="009D4061"/>
    <w:rsid w:val="00AE00B0"/>
    <w:rsid w:val="00B123B6"/>
    <w:rsid w:val="00B74AA0"/>
    <w:rsid w:val="00BA0AB9"/>
    <w:rsid w:val="00C03D6A"/>
    <w:rsid w:val="00C92962"/>
    <w:rsid w:val="00C92BFA"/>
    <w:rsid w:val="00CC363B"/>
    <w:rsid w:val="00D105C4"/>
    <w:rsid w:val="00D22D84"/>
    <w:rsid w:val="00DC2B82"/>
    <w:rsid w:val="00E049CA"/>
    <w:rsid w:val="00E15F8B"/>
    <w:rsid w:val="00E36E83"/>
    <w:rsid w:val="00E46C5E"/>
    <w:rsid w:val="00E821C2"/>
    <w:rsid w:val="00E8714A"/>
    <w:rsid w:val="00F11105"/>
    <w:rsid w:val="00F2549E"/>
    <w:rsid w:val="0931C0C4"/>
    <w:rsid w:val="21591B40"/>
    <w:rsid w:val="2275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3517"/>
  <w15:chartTrackingRefBased/>
  <w15:docId w15:val="{3550FA24-8835-4DE6-A23D-0473F126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5F6"/>
    <w:rPr>
      <w:color w:val="0563C1" w:themeColor="hyperlink"/>
      <w:u w:val="single"/>
    </w:rPr>
  </w:style>
  <w:style w:type="character" w:styleId="IntenseEmphasis">
    <w:name w:val="Intense Emphasis"/>
    <w:basedOn w:val="DefaultParagraphFont"/>
    <w:uiPriority w:val="21"/>
    <w:qFormat/>
    <w:rsid w:val="009005F6"/>
    <w:rPr>
      <w:i/>
      <w:iCs/>
      <w:color w:val="4472C4" w:themeColor="accent1"/>
    </w:rPr>
  </w:style>
  <w:style w:type="paragraph" w:styleId="IntenseQuote">
    <w:name w:val="Intense Quote"/>
    <w:basedOn w:val="Normal"/>
    <w:next w:val="Normal"/>
    <w:link w:val="IntenseQuoteChar"/>
    <w:uiPriority w:val="30"/>
    <w:qFormat/>
    <w:rsid w:val="009005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05F6"/>
    <w:rPr>
      <w:rFonts w:ascii="Calibri" w:hAnsi="Calibri" w:cs="Calibri"/>
      <w:i/>
      <w:iCs/>
      <w:color w:val="4472C4" w:themeColor="accent1"/>
    </w:rPr>
  </w:style>
  <w:style w:type="paragraph" w:customStyle="1" w:styleId="Default">
    <w:name w:val="Default"/>
    <w:rsid w:val="009005F6"/>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8937B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937B2"/>
  </w:style>
  <w:style w:type="table" w:styleId="GridTable6Colorful">
    <w:name w:val="Grid Table 6 Colorful"/>
    <w:basedOn w:val="TableNormal"/>
    <w:uiPriority w:val="51"/>
    <w:rsid w:val="002C35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95977">
      <w:bodyDiv w:val="1"/>
      <w:marLeft w:val="0"/>
      <w:marRight w:val="0"/>
      <w:marTop w:val="0"/>
      <w:marBottom w:val="0"/>
      <w:divBdr>
        <w:top w:val="none" w:sz="0" w:space="0" w:color="auto"/>
        <w:left w:val="none" w:sz="0" w:space="0" w:color="auto"/>
        <w:bottom w:val="none" w:sz="0" w:space="0" w:color="auto"/>
        <w:right w:val="none" w:sz="0" w:space="0" w:color="auto"/>
      </w:divBdr>
      <w:divsChild>
        <w:div w:id="1430853534">
          <w:marLeft w:val="0"/>
          <w:marRight w:val="0"/>
          <w:marTop w:val="0"/>
          <w:marBottom w:val="0"/>
          <w:divBdr>
            <w:top w:val="none" w:sz="0" w:space="0" w:color="auto"/>
            <w:left w:val="none" w:sz="0" w:space="0" w:color="auto"/>
            <w:bottom w:val="none" w:sz="0" w:space="0" w:color="auto"/>
            <w:right w:val="none" w:sz="0" w:space="0" w:color="auto"/>
          </w:divBdr>
        </w:div>
      </w:divsChild>
    </w:div>
    <w:div w:id="951668723">
      <w:bodyDiv w:val="1"/>
      <w:marLeft w:val="0"/>
      <w:marRight w:val="0"/>
      <w:marTop w:val="0"/>
      <w:marBottom w:val="0"/>
      <w:divBdr>
        <w:top w:val="none" w:sz="0" w:space="0" w:color="auto"/>
        <w:left w:val="none" w:sz="0" w:space="0" w:color="auto"/>
        <w:bottom w:val="none" w:sz="0" w:space="0" w:color="auto"/>
        <w:right w:val="none" w:sz="0" w:space="0" w:color="auto"/>
      </w:divBdr>
    </w:div>
    <w:div w:id="207542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xerces.org/publications/guidelines/interseeding-wildflowers-to-diversify-grasslands-for-pollinato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da.state.mn.us/pesticide-fertilizer/integrated-pest-management" TargetMode="External"/><Relationship Id="rId5" Type="http://schemas.openxmlformats.org/officeDocument/2006/relationships/settings" Target="settings.xml"/><Relationship Id="rId10" Type="http://schemas.openxmlformats.org/officeDocument/2006/relationships/hyperlink" Target="https://bwsr.state.mn.us/seed-mixes"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D787C-48D5-449F-AA2D-1FC0560D9D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CABEAB-2A80-4614-8C39-088D6FB7E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E4866-E09D-45B8-B31A-2D00F4BF3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2909</Words>
  <Characters>16583</Characters>
  <Application>Microsoft Office Word</Application>
  <DocSecurity>0</DocSecurity>
  <Lines>138</Lines>
  <Paragraphs>38</Paragraphs>
  <ScaleCrop>false</ScaleCrop>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Perriello, Tara L (BWSR)</dc:creator>
  <cp:keywords/>
  <dc:description/>
  <cp:lastModifiedBy>Sjolund, Melissa (BWSR)</cp:lastModifiedBy>
  <cp:revision>4</cp:revision>
  <dcterms:created xsi:type="dcterms:W3CDTF">2026-04-14T16:19:00Z</dcterms:created>
  <dcterms:modified xsi:type="dcterms:W3CDTF">2026-04-14T16:20:00Z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