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77" w:rsidRDefault="00B57077" w:rsidP="00365ECB">
      <w:pPr>
        <w:spacing w:line="240" w:lineRule="atLeast"/>
        <w:rPr>
          <w:rFonts w:ascii="Arial" w:hAnsi="Arial" w:cs="Arial"/>
          <w:b/>
          <w:sz w:val="22"/>
          <w:szCs w:val="22"/>
          <w:u w:val="single"/>
        </w:rPr>
      </w:pPr>
    </w:p>
    <w:p w:rsidR="008845BE" w:rsidRDefault="008845BE" w:rsidP="008845BE">
      <w:pPr>
        <w:tabs>
          <w:tab w:val="left" w:pos="-480"/>
          <w:tab w:val="left" w:pos="1"/>
          <w:tab w:val="left" w:pos="190"/>
          <w:tab w:val="left" w:pos="370"/>
          <w:tab w:val="left" w:pos="5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u w:val="single"/>
        </w:rPr>
      </w:pPr>
    </w:p>
    <w:p w:rsidR="008845BE" w:rsidRDefault="008845BE" w:rsidP="008845BE">
      <w:pPr>
        <w:tabs>
          <w:tab w:val="left" w:pos="-480"/>
          <w:tab w:val="left" w:pos="1"/>
          <w:tab w:val="left" w:pos="190"/>
          <w:tab w:val="left" w:pos="370"/>
          <w:tab w:val="left" w:pos="5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u w:val="single"/>
        </w:rPr>
      </w:pPr>
    </w:p>
    <w:p w:rsidR="008845BE" w:rsidRDefault="008845BE" w:rsidP="008845BE">
      <w:pPr>
        <w:tabs>
          <w:tab w:val="left" w:pos="-480"/>
          <w:tab w:val="left" w:pos="1"/>
          <w:tab w:val="left" w:pos="190"/>
          <w:tab w:val="left" w:pos="370"/>
          <w:tab w:val="left" w:pos="5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u w:val="single"/>
        </w:rPr>
      </w:pPr>
    </w:p>
    <w:p w:rsidR="008845BE" w:rsidRDefault="008845BE" w:rsidP="008845BE">
      <w:pPr>
        <w:tabs>
          <w:tab w:val="left" w:pos="-480"/>
          <w:tab w:val="left" w:pos="1"/>
          <w:tab w:val="left" w:pos="190"/>
          <w:tab w:val="left" w:pos="370"/>
          <w:tab w:val="left" w:pos="5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u w:val="single"/>
        </w:rPr>
      </w:pPr>
      <w:r>
        <w:rPr>
          <w:rFonts w:ascii="Arial" w:hAnsi="Arial" w:cs="Arial"/>
          <w:b/>
          <w:sz w:val="22"/>
          <w:szCs w:val="22"/>
        </w:rPr>
        <w:t>BREAKDOWN OF COUNTY REVENUE</w:t>
      </w:r>
    </w:p>
    <w:p w:rsidR="008845BE" w:rsidRDefault="007916A8" w:rsidP="008845BE">
      <w:pPr>
        <w:tabs>
          <w:tab w:val="left" w:pos="-480"/>
          <w:tab w:val="left" w:pos="1"/>
          <w:tab w:val="left" w:pos="190"/>
          <w:tab w:val="left" w:pos="370"/>
          <w:tab w:val="left" w:pos="5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Pr>
          <w:rFonts w:ascii="Arial" w:hAnsi="Arial" w:cs="Arial"/>
          <w:b/>
          <w:bCs/>
          <w:sz w:val="22"/>
          <w:szCs w:val="22"/>
        </w:rPr>
        <w:t>2018</w:t>
      </w:r>
    </w:p>
    <w:p w:rsidR="008845BE" w:rsidRDefault="008845BE" w:rsidP="008845BE">
      <w:pPr>
        <w:tabs>
          <w:tab w:val="left" w:pos="-480"/>
          <w:tab w:val="left" w:pos="1"/>
          <w:tab w:val="left" w:pos="190"/>
          <w:tab w:val="left" w:pos="370"/>
          <w:tab w:val="left" w:pos="5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COUNTY REVENUES (breakdown):</w:t>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ANNUAL ALLOCATION</w:t>
      </w:r>
      <w:r>
        <w:rPr>
          <w:rFonts w:ascii="Arial" w:hAnsi="Arial" w:cs="Arial"/>
          <w:sz w:val="22"/>
          <w:szCs w:val="22"/>
        </w:rPr>
        <w:tab/>
      </w:r>
      <w:r>
        <w:rPr>
          <w:rFonts w:ascii="Arial" w:hAnsi="Arial" w:cs="Arial"/>
          <w:sz w:val="22"/>
          <w:szCs w:val="22"/>
        </w:rPr>
        <w:tab/>
        <w:t>$______________</w:t>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pStyle w:val="Heading3"/>
        <w:tabs>
          <w:tab w:val="left" w:pos="-1440"/>
          <w:tab w:val="left" w:pos="470"/>
          <w:tab w:val="left" w:pos="4320"/>
          <w:tab w:val="left" w:pos="5040"/>
          <w:tab w:val="left" w:pos="6480"/>
        </w:tabs>
        <w:rPr>
          <w:rFonts w:cs="Arial"/>
          <w:sz w:val="22"/>
          <w:szCs w:val="22"/>
        </w:rPr>
      </w:pPr>
      <w:r w:rsidRPr="008845BE">
        <w:rPr>
          <w:rFonts w:cs="Arial"/>
          <w:sz w:val="22"/>
          <w:szCs w:val="22"/>
          <w:u w:val="none"/>
        </w:rPr>
        <w:t>WATER PLAN MONEY</w:t>
      </w:r>
      <w:r>
        <w:rPr>
          <w:rFonts w:cs="Arial"/>
          <w:sz w:val="22"/>
          <w:szCs w:val="22"/>
          <w:u w:val="none"/>
        </w:rPr>
        <w:tab/>
      </w:r>
      <w:r>
        <w:rPr>
          <w:rFonts w:cs="Arial"/>
          <w:sz w:val="22"/>
          <w:szCs w:val="22"/>
        </w:rPr>
        <w:t>$______________</w:t>
      </w:r>
    </w:p>
    <w:p w:rsidR="00136805" w:rsidRPr="008845BE" w:rsidRDefault="008845BE" w:rsidP="008845BE">
      <w:pPr>
        <w:pStyle w:val="Heading3"/>
        <w:tabs>
          <w:tab w:val="left" w:pos="-1440"/>
          <w:tab w:val="left" w:pos="470"/>
          <w:tab w:val="left" w:pos="1875"/>
          <w:tab w:val="left" w:pos="4320"/>
          <w:tab w:val="left" w:pos="5040"/>
          <w:tab w:val="left" w:pos="6480"/>
        </w:tabs>
        <w:rPr>
          <w:rFonts w:cs="Arial"/>
          <w:sz w:val="22"/>
          <w:szCs w:val="22"/>
          <w:u w:val="none"/>
        </w:rPr>
      </w:pPr>
      <w:r w:rsidRPr="008845BE">
        <w:rPr>
          <w:rFonts w:cs="Arial"/>
          <w:sz w:val="22"/>
          <w:szCs w:val="22"/>
          <w:u w:val="none"/>
        </w:rPr>
        <w:tab/>
      </w:r>
      <w:r w:rsidRPr="008845BE">
        <w:rPr>
          <w:rFonts w:cs="Arial"/>
          <w:sz w:val="22"/>
          <w:szCs w:val="22"/>
          <w:u w:val="none"/>
        </w:rPr>
        <w:tab/>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WETLAND MONEY</w:t>
      </w:r>
      <w:r>
        <w:rPr>
          <w:rFonts w:ascii="Arial" w:hAnsi="Arial" w:cs="Arial"/>
          <w:sz w:val="22"/>
          <w:szCs w:val="22"/>
        </w:rPr>
        <w:tab/>
      </w:r>
      <w:r>
        <w:rPr>
          <w:rFonts w:ascii="Arial" w:hAnsi="Arial" w:cs="Arial"/>
          <w:sz w:val="22"/>
          <w:szCs w:val="22"/>
        </w:rPr>
        <w:tab/>
        <w:t>$______________</w:t>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FEEDLOT MONEY</w:t>
      </w:r>
      <w:r>
        <w:rPr>
          <w:rFonts w:ascii="Arial" w:hAnsi="Arial" w:cs="Arial"/>
          <w:sz w:val="22"/>
          <w:szCs w:val="22"/>
        </w:rPr>
        <w:tab/>
      </w:r>
      <w:r>
        <w:rPr>
          <w:rFonts w:ascii="Arial" w:hAnsi="Arial" w:cs="Arial"/>
          <w:sz w:val="22"/>
          <w:szCs w:val="22"/>
        </w:rPr>
        <w:tab/>
        <w:t>$______________</w:t>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ABANDONED WELL</w:t>
      </w:r>
      <w:r>
        <w:rPr>
          <w:rFonts w:ascii="Arial" w:hAnsi="Arial" w:cs="Arial"/>
          <w:sz w:val="22"/>
          <w:szCs w:val="22"/>
        </w:rPr>
        <w:tab/>
        <w:t xml:space="preserve"> </w:t>
      </w:r>
      <w:r>
        <w:rPr>
          <w:rFonts w:ascii="Arial" w:hAnsi="Arial" w:cs="Arial"/>
          <w:sz w:val="22"/>
          <w:szCs w:val="22"/>
        </w:rPr>
        <w:tab/>
        <w:t>$______________</w:t>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pStyle w:val="BodyText"/>
        <w:tabs>
          <w:tab w:val="left" w:pos="-1440"/>
          <w:tab w:val="left" w:pos="470"/>
          <w:tab w:val="left" w:pos="4320"/>
          <w:tab w:val="left" w:pos="5040"/>
          <w:tab w:val="left" w:pos="6480"/>
        </w:tabs>
        <w:rPr>
          <w:rFonts w:cs="Arial"/>
          <w:szCs w:val="22"/>
        </w:rPr>
      </w:pPr>
      <w:r>
        <w:rPr>
          <w:rFonts w:cs="Arial"/>
          <w:szCs w:val="22"/>
        </w:rPr>
        <w:t>DNR SHORELAND</w:t>
      </w:r>
      <w:r>
        <w:rPr>
          <w:rFonts w:cs="Arial"/>
          <w:szCs w:val="22"/>
        </w:rPr>
        <w:tab/>
        <w:t>$______________</w:t>
      </w:r>
    </w:p>
    <w:p w:rsidR="008845BE" w:rsidRDefault="008845BE" w:rsidP="008845BE">
      <w:pPr>
        <w:pStyle w:val="BodyText"/>
        <w:tabs>
          <w:tab w:val="left" w:pos="-1440"/>
          <w:tab w:val="left" w:pos="470"/>
          <w:tab w:val="left" w:pos="4320"/>
          <w:tab w:val="left" w:pos="5040"/>
          <w:tab w:val="left" w:pos="6480"/>
        </w:tabs>
        <w:rPr>
          <w:rFonts w:cs="Arial"/>
          <w:szCs w:val="22"/>
        </w:rPr>
      </w:pPr>
    </w:p>
    <w:p w:rsidR="008845BE" w:rsidRDefault="008845BE" w:rsidP="008845BE">
      <w:pPr>
        <w:pStyle w:val="BodyText"/>
        <w:tabs>
          <w:tab w:val="left" w:pos="-1440"/>
          <w:tab w:val="left" w:pos="470"/>
          <w:tab w:val="left" w:pos="4320"/>
          <w:tab w:val="left" w:pos="5040"/>
          <w:tab w:val="left" w:pos="6480"/>
        </w:tabs>
        <w:rPr>
          <w:rFonts w:cs="Arial"/>
          <w:szCs w:val="22"/>
        </w:rPr>
      </w:pPr>
      <w:r>
        <w:rPr>
          <w:rFonts w:cs="Arial"/>
          <w:szCs w:val="22"/>
        </w:rPr>
        <w:t>OTHER (specify)</w:t>
      </w:r>
      <w:r>
        <w:rPr>
          <w:rFonts w:cs="Arial"/>
          <w:szCs w:val="22"/>
        </w:rPr>
        <w:tab/>
        <w:t>$______________</w:t>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t>TOTAL</w:t>
      </w:r>
      <w:r>
        <w:rPr>
          <w:rFonts w:ascii="Arial" w:hAnsi="Arial" w:cs="Arial"/>
          <w:sz w:val="22"/>
          <w:szCs w:val="22"/>
        </w:rPr>
        <w:tab/>
      </w:r>
      <w:r>
        <w:rPr>
          <w:rFonts w:ascii="Arial" w:hAnsi="Arial" w:cs="Arial"/>
          <w:sz w:val="22"/>
          <w:szCs w:val="22"/>
        </w:rPr>
        <w:tab/>
      </w:r>
      <w:r>
        <w:rPr>
          <w:rFonts w:ascii="Arial" w:hAnsi="Arial" w:cs="Arial"/>
          <w:sz w:val="22"/>
          <w:szCs w:val="22"/>
          <w:u w:val="double"/>
        </w:rPr>
        <w:t xml:space="preserve">$______________                             </w:t>
      </w: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4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58" w:hanging="1058"/>
        <w:rPr>
          <w:rFonts w:ascii="Arial" w:hAnsi="Arial" w:cs="Arial"/>
          <w:sz w:val="22"/>
          <w:szCs w:val="22"/>
        </w:rPr>
      </w:pPr>
      <w:r>
        <w:rPr>
          <w:rFonts w:ascii="Arial" w:hAnsi="Arial" w:cs="Arial"/>
          <w:sz w:val="22"/>
          <w:szCs w:val="22"/>
        </w:rPr>
        <w:t>NOTE:</w:t>
      </w:r>
      <w:r>
        <w:rPr>
          <w:rFonts w:ascii="Arial" w:hAnsi="Arial" w:cs="Arial"/>
          <w:sz w:val="22"/>
          <w:szCs w:val="22"/>
        </w:rPr>
        <w:tab/>
        <w:t xml:space="preserve">The total should agree with amount reported as </w:t>
      </w:r>
      <w:r>
        <w:rPr>
          <w:rFonts w:ascii="Arial" w:hAnsi="Arial" w:cs="Arial"/>
          <w:b/>
          <w:sz w:val="22"/>
          <w:szCs w:val="22"/>
        </w:rPr>
        <w:t>County Revenue</w:t>
      </w:r>
      <w:r>
        <w:rPr>
          <w:rFonts w:ascii="Arial" w:hAnsi="Arial" w:cs="Arial"/>
          <w:sz w:val="22"/>
          <w:szCs w:val="22"/>
        </w:rPr>
        <w:t xml:space="preserve"> in the "Budgetary Comparison Schedule."</w:t>
      </w: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List other "non-cash" county support (i.e. rent, health insurance, etc.) that does not show up anywhere on your annual report.</w:t>
      </w: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r>
        <w:rPr>
          <w:rFonts w:ascii="Arial" w:hAnsi="Arial" w:cs="Arial"/>
          <w:sz w:val="22"/>
          <w:szCs w:val="22"/>
          <w:u w:val="single"/>
        </w:rPr>
        <w:t xml:space="preserve">                                                                 </w:t>
      </w: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r>
        <w:rPr>
          <w:rFonts w:ascii="Arial" w:hAnsi="Arial" w:cs="Arial"/>
          <w:sz w:val="22"/>
          <w:szCs w:val="22"/>
          <w:u w:val="single"/>
        </w:rPr>
        <w:t xml:space="preserve">                             </w:t>
      </w: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u w:val="single"/>
        </w:rPr>
      </w:pPr>
      <w:r>
        <w:rPr>
          <w:rFonts w:ascii="Arial" w:hAnsi="Arial" w:cs="Arial"/>
          <w:b/>
          <w:sz w:val="22"/>
          <w:szCs w:val="22"/>
          <w:u w:val="single"/>
        </w:rPr>
        <w:br w:type="page"/>
      </w: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u w:val="single"/>
        </w:rPr>
      </w:pP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u w:val="single"/>
        </w:rPr>
      </w:pP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u w:val="single"/>
        </w:rPr>
      </w:pP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0"/>
        </w:rPr>
      </w:pPr>
      <w:r>
        <w:rPr>
          <w:b/>
        </w:rPr>
        <w:t>UNEARNED REVENUE BREAKDOWN</w:t>
      </w:r>
    </w:p>
    <w:p w:rsidR="008845BE" w:rsidRDefault="00B05FAB"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2018</w:t>
      </w:r>
    </w:p>
    <w:p w:rsidR="008845BE" w:rsidRDefault="008845BE" w:rsidP="008845BE">
      <w:pPr>
        <w:tabs>
          <w:tab w:val="left" w:pos="-1440"/>
          <w:tab w:val="left" w:pos="-720"/>
          <w:tab w:val="left" w:pos="1"/>
          <w:tab w:val="left" w:pos="105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Balance of BWSR Service Grants:</w:t>
      </w:r>
      <w:r>
        <w:tab/>
      </w:r>
      <w:r>
        <w:tab/>
      </w:r>
      <w:r>
        <w:tab/>
      </w:r>
      <w:r>
        <w:tab/>
      </w:r>
      <w:r>
        <w:tab/>
        <w:t>$</w:t>
      </w:r>
      <w:r>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 xml:space="preserve">Balance of </w:t>
      </w:r>
      <w:r>
        <w:rPr>
          <w:u w:val="single"/>
        </w:rPr>
        <w:t>unencumbered</w:t>
      </w:r>
      <w:r>
        <w:t xml:space="preserve"> BWSR Cost-Share Grants:</w:t>
      </w:r>
      <w:r>
        <w:tab/>
        <w:t>Current fiscal year</w:t>
      </w:r>
      <w:r>
        <w:tab/>
      </w:r>
      <w:r>
        <w:tab/>
        <w:t>$</w:t>
      </w:r>
      <w:r>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b/>
      </w:r>
      <w:r>
        <w:tab/>
      </w:r>
      <w:r>
        <w:tab/>
        <w:t>Previous fiscal year</w:t>
      </w:r>
      <w:r>
        <w:tab/>
        <w:t>$</w:t>
      </w:r>
      <w:r>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Balance of </w:t>
      </w:r>
      <w:r>
        <w:rPr>
          <w:u w:val="single"/>
        </w:rPr>
        <w:t>encumbered</w:t>
      </w:r>
      <w:r>
        <w:t xml:space="preserve"> BWSR Cost-Share Grant (list each contract separately):</w:t>
      </w:r>
    </w:p>
    <w:p w:rsidR="008845BE" w:rsidRDefault="008845BE" w:rsidP="008845BE">
      <w:pPr>
        <w:tabs>
          <w:tab w:val="left" w:pos="-360"/>
          <w:tab w:val="left" w:pos="1"/>
          <w:tab w:val="left" w:pos="720"/>
          <w:tab w:val="left" w:pos="5040"/>
          <w:tab w:val="left" w:pos="6120"/>
          <w:tab w:val="left" w:pos="7380"/>
          <w:tab w:val="left" w:pos="7920"/>
          <w:tab w:val="left" w:pos="810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05"/>
        <w:gridCol w:w="1658"/>
        <w:gridCol w:w="450"/>
        <w:gridCol w:w="2070"/>
        <w:gridCol w:w="450"/>
        <w:gridCol w:w="2160"/>
      </w:tblGrid>
      <w:tr w:rsidR="008845BE" w:rsidTr="008845BE">
        <w:tc>
          <w:tcPr>
            <w:tcW w:w="1447" w:type="dxa"/>
            <w:tcBorders>
              <w:top w:val="nil"/>
              <w:left w:val="nil"/>
              <w:bottom w:val="double" w:sz="4" w:space="0" w:color="auto"/>
              <w:right w:val="nil"/>
            </w:tcBorders>
            <w:hideMark/>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jc w:val="center"/>
            </w:pPr>
            <w:r>
              <w:t>FY</w:t>
            </w: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nil"/>
              <w:left w:val="nil"/>
              <w:bottom w:val="double" w:sz="4" w:space="0" w:color="auto"/>
              <w:right w:val="nil"/>
            </w:tcBorders>
            <w:hideMark/>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jc w:val="center"/>
            </w:pPr>
            <w:r>
              <w:t>Contract No.</w:t>
            </w: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nil"/>
              <w:left w:val="nil"/>
              <w:bottom w:val="double" w:sz="4" w:space="0" w:color="auto"/>
              <w:right w:val="nil"/>
            </w:tcBorders>
            <w:hideMark/>
          </w:tcPr>
          <w:p w:rsidR="008845BE" w:rsidRDefault="008845BE">
            <w:pPr>
              <w:pStyle w:val="Heading2"/>
              <w:rPr>
                <w:sz w:val="24"/>
              </w:rPr>
            </w:pPr>
            <w:r>
              <w:t>Contract Amount</w:t>
            </w:r>
          </w:p>
        </w:tc>
        <w:tc>
          <w:tcPr>
            <w:tcW w:w="450" w:type="dxa"/>
            <w:tcBorders>
              <w:top w:val="nil"/>
              <w:left w:val="nil"/>
              <w:bottom w:val="nil"/>
              <w:right w:val="nil"/>
            </w:tcBorders>
          </w:tcPr>
          <w:p w:rsidR="008845BE" w:rsidRDefault="008845BE">
            <w:pPr>
              <w:pStyle w:val="Heading2"/>
            </w:pPr>
          </w:p>
        </w:tc>
        <w:tc>
          <w:tcPr>
            <w:tcW w:w="2160" w:type="dxa"/>
            <w:tcBorders>
              <w:top w:val="nil"/>
              <w:left w:val="nil"/>
              <w:bottom w:val="double" w:sz="4" w:space="0" w:color="auto"/>
              <w:right w:val="nil"/>
            </w:tcBorders>
            <w:hideMark/>
          </w:tcPr>
          <w:p w:rsidR="008845BE" w:rsidRDefault="008845BE">
            <w:pPr>
              <w:pStyle w:val="Heading2"/>
            </w:pPr>
            <w:r>
              <w:t>T &amp; A Encumbered</w:t>
            </w:r>
          </w:p>
        </w:tc>
      </w:tr>
      <w:tr w:rsidR="008845BE" w:rsidTr="008845BE">
        <w:tc>
          <w:tcPr>
            <w:tcW w:w="1447" w:type="dxa"/>
            <w:tcBorders>
              <w:top w:val="doub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doub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doub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doub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r w:rsidR="008845BE" w:rsidTr="008845BE">
        <w:tc>
          <w:tcPr>
            <w:tcW w:w="1447"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05"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1658"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nil"/>
              <w:left w:val="nil"/>
              <w:bottom w:val="nil"/>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07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45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c>
          <w:tcPr>
            <w:tcW w:w="2160" w:type="dxa"/>
            <w:tcBorders>
              <w:top w:val="single" w:sz="4" w:space="0" w:color="auto"/>
              <w:left w:val="nil"/>
              <w:bottom w:val="single" w:sz="4" w:space="0" w:color="auto"/>
              <w:right w:val="nil"/>
            </w:tcBorders>
          </w:tcPr>
          <w:p w:rsidR="008845BE" w:rsidRDefault="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pPr>
          </w:p>
        </w:tc>
      </w:tr>
    </w:tbl>
    <w:p w:rsidR="008845BE" w:rsidRDefault="008845BE" w:rsidP="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uto"/>
        <w:rPr>
          <w:szCs w:val="20"/>
        </w:rPr>
      </w:pPr>
      <w:r>
        <w:tab/>
      </w:r>
      <w:r>
        <w:tab/>
      </w:r>
      <w:r>
        <w:tab/>
      </w:r>
    </w:p>
    <w:p w:rsidR="008845BE" w:rsidRDefault="008845BE" w:rsidP="008845BE">
      <w:pPr>
        <w:tabs>
          <w:tab w:val="left" w:pos="-360"/>
          <w:tab w:val="left" w:pos="1"/>
          <w:tab w:val="left" w:pos="720"/>
          <w:tab w:val="left" w:pos="2160"/>
          <w:tab w:val="left" w:pos="2700"/>
          <w:tab w:val="left" w:pos="5040"/>
          <w:tab w:val="left" w:pos="5580"/>
          <w:tab w:val="left" w:pos="720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t>Total of all Cost-Share Encumbrances</w:t>
      </w:r>
      <w:r>
        <w:tab/>
        <w:t xml:space="preserve">            </w:t>
      </w:r>
      <w:r>
        <w:tab/>
        <w:t>$___</w:t>
      </w:r>
      <w:r>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Balance of </w:t>
      </w:r>
      <w:smartTag w:uri="urn:schemas-microsoft-com:office:smarttags" w:element="place">
        <w:smartTag w:uri="urn:schemas-microsoft-com:office:smarttags" w:element="PlaceType">
          <w:r>
            <w:t>County</w:t>
          </w:r>
        </w:smartTag>
        <w:r>
          <w:t xml:space="preserve"> </w:t>
        </w:r>
        <w:smartTag w:uri="urn:schemas-microsoft-com:office:smarttags" w:element="PlaceName">
          <w:r>
            <w:t>WCA</w:t>
          </w:r>
        </w:smartTag>
      </w:smartTag>
      <w:r>
        <w:t xml:space="preserve"> Funds:</w:t>
      </w:r>
      <w:r>
        <w:tab/>
      </w:r>
      <w:r>
        <w:tab/>
      </w:r>
      <w:r>
        <w:tab/>
      </w:r>
      <w:r>
        <w:tab/>
      </w:r>
      <w:r>
        <w:tab/>
        <w:t>$</w:t>
      </w:r>
      <w:r>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Balance of </w:t>
      </w:r>
      <w:smartTag w:uri="urn:schemas-microsoft-com:office:smarttags" w:element="place">
        <w:smartTag w:uri="urn:schemas-microsoft-com:office:smarttags" w:element="PlaceType">
          <w:r>
            <w:t>County</w:t>
          </w:r>
        </w:smartTag>
        <w:r>
          <w:t xml:space="preserve"> </w:t>
        </w:r>
        <w:smartTag w:uri="urn:schemas-microsoft-com:office:smarttags" w:element="PlaceName">
          <w:r>
            <w:t>Water</w:t>
          </w:r>
        </w:smartTag>
      </w:smartTag>
      <w:r>
        <w:t xml:space="preserve"> Plan Funds:</w:t>
      </w:r>
      <w:r>
        <w:tab/>
      </w:r>
      <w:r>
        <w:tab/>
      </w:r>
      <w:r>
        <w:tab/>
      </w:r>
      <w:r>
        <w:tab/>
      </w:r>
      <w:r>
        <w:tab/>
        <w:t>$</w:t>
      </w:r>
      <w:r>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Balance of </w:t>
      </w:r>
      <w:r>
        <w:rPr>
          <w:u w:val="single"/>
        </w:rPr>
        <w:t>other</w:t>
      </w:r>
      <w:r>
        <w:t xml:space="preserve"> funds being deferred (list if any):</w:t>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B8417B"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008845BE">
        <w:tab/>
        <w:t>$</w:t>
      </w:r>
      <w:r w:rsidR="008845BE">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B8417B"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b/>
      </w:r>
      <w:r>
        <w:tab/>
      </w:r>
      <w:r w:rsidR="008845BE">
        <w:tab/>
        <w:t>$</w:t>
      </w:r>
      <w:r w:rsidR="008845BE">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B8417B"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008845BE">
        <w:tab/>
        <w:t>$</w:t>
      </w:r>
      <w:r w:rsidR="008845BE">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Subtotal of other funds:</w:t>
      </w:r>
      <w:r>
        <w:tab/>
      </w:r>
      <w:r>
        <w:tab/>
      </w:r>
      <w:r>
        <w:tab/>
      </w:r>
      <w:r>
        <w:tab/>
      </w:r>
      <w:r>
        <w:tab/>
        <w:t>$</w:t>
      </w:r>
      <w:r>
        <w:rPr>
          <w:u w:val="single"/>
        </w:rPr>
        <w:tab/>
      </w: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45BE" w:rsidRDefault="008845BE" w:rsidP="008845BE">
      <w:pPr>
        <w:tabs>
          <w:tab w:val="left" w:pos="-360"/>
          <w:tab w:val="left" w:pos="1"/>
          <w:tab w:val="left" w:pos="720"/>
          <w:tab w:val="left" w:pos="5040"/>
          <w:tab w:val="left" w:pos="6120"/>
          <w:tab w:val="left" w:pos="7380"/>
          <w:tab w:val="left" w:pos="7920"/>
          <w:tab w:val="left" w:pos="810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TOTAL OF ALL UNEARNED REVENUE:</w:t>
      </w:r>
      <w:r>
        <w:tab/>
      </w:r>
      <w:r>
        <w:tab/>
      </w:r>
      <w:r>
        <w:tab/>
      </w:r>
      <w:r>
        <w:tab/>
      </w:r>
      <w:r>
        <w:tab/>
      </w:r>
      <w:r>
        <w:rPr>
          <w:b/>
        </w:rPr>
        <w:t>$</w:t>
      </w:r>
      <w:r>
        <w:rPr>
          <w:b/>
          <w:u w:val="double"/>
        </w:rPr>
        <w:tab/>
      </w:r>
    </w:p>
    <w:p w:rsidR="008845BE" w:rsidRDefault="008845BE" w:rsidP="008845BE">
      <w:pPr>
        <w:rPr>
          <w:b/>
        </w:rPr>
        <w:sectPr w:rsidR="008845BE">
          <w:endnotePr>
            <w:numFmt w:val="decimal"/>
          </w:endnotePr>
          <w:pgSz w:w="12240" w:h="15840"/>
          <w:pgMar w:top="288" w:right="720" w:bottom="144" w:left="720" w:header="576" w:footer="0" w:gutter="0"/>
          <w:pgNumType w:start="1"/>
          <w:cols w:space="720"/>
        </w:sectPr>
      </w:pPr>
    </w:p>
    <w:p w:rsidR="008845BE" w:rsidRDefault="008845BE">
      <w:pPr>
        <w:rPr>
          <w:rFonts w:ascii="Arial" w:hAnsi="Arial" w:cs="Arial"/>
          <w:b/>
          <w:sz w:val="22"/>
          <w:szCs w:val="22"/>
          <w:u w:val="single"/>
        </w:rPr>
      </w:pPr>
    </w:p>
    <w:p w:rsidR="009D3865" w:rsidRDefault="009D3865" w:rsidP="009D3865">
      <w:pPr>
        <w:spacing w:line="240" w:lineRule="atLeast"/>
        <w:rPr>
          <w:rFonts w:ascii="Arial" w:hAnsi="Arial" w:cs="Arial"/>
          <w:b/>
          <w:sz w:val="22"/>
          <w:szCs w:val="22"/>
          <w:u w:val="single"/>
        </w:rPr>
      </w:pPr>
      <w:r>
        <w:rPr>
          <w:rFonts w:ascii="Arial" w:hAnsi="Arial" w:cs="Arial"/>
          <w:b/>
          <w:sz w:val="22"/>
          <w:szCs w:val="22"/>
          <w:u w:val="single"/>
        </w:rPr>
        <w:t>Note 1 - Summary of Significant Accounting Policies</w:t>
      </w:r>
    </w:p>
    <w:p w:rsidR="009D3865" w:rsidRDefault="009D3865" w:rsidP="009D3865">
      <w:pPr>
        <w:spacing w:line="240" w:lineRule="atLeast"/>
        <w:rPr>
          <w:rFonts w:ascii="Arial" w:hAnsi="Arial" w:cs="Arial"/>
          <w:b/>
          <w:sz w:val="22"/>
          <w:szCs w:val="22"/>
          <w:u w:val="single"/>
        </w:rPr>
      </w:pPr>
    </w:p>
    <w:p w:rsidR="009D3865" w:rsidRDefault="009D3865" w:rsidP="009D3865">
      <w:pPr>
        <w:spacing w:line="240" w:lineRule="atLeast"/>
        <w:jc w:val="both"/>
        <w:rPr>
          <w:rFonts w:ascii="Arial" w:hAnsi="Arial" w:cs="Arial"/>
          <w:bCs/>
          <w:sz w:val="22"/>
          <w:szCs w:val="22"/>
        </w:rPr>
      </w:pPr>
      <w:r>
        <w:rPr>
          <w:rFonts w:ascii="Arial" w:hAnsi="Arial" w:cs="Arial"/>
          <w:bCs/>
          <w:sz w:val="22"/>
          <w:szCs w:val="22"/>
        </w:rPr>
        <w:t xml:space="preserve">The financial reporting policies of the (NAME) conform to generally accepted accounting principles. The Governmental Accounting Standards </w:t>
      </w:r>
      <w:r w:rsidR="00052D19">
        <w:rPr>
          <w:rFonts w:ascii="Arial" w:hAnsi="Arial" w:cs="Arial"/>
          <w:bCs/>
          <w:sz w:val="22"/>
          <w:szCs w:val="22"/>
        </w:rPr>
        <w:t>District</w:t>
      </w:r>
      <w:r>
        <w:rPr>
          <w:rFonts w:ascii="Arial" w:hAnsi="Arial" w:cs="Arial"/>
          <w:bCs/>
          <w:sz w:val="22"/>
          <w:szCs w:val="22"/>
        </w:rPr>
        <w:t xml:space="preserve"> (GASB) is responsible for establishing GAAP for state and local governments through its pronouncements (statements and interpretations).</w:t>
      </w:r>
    </w:p>
    <w:p w:rsidR="009D3865" w:rsidRDefault="009D3865" w:rsidP="009D3865">
      <w:pPr>
        <w:spacing w:line="240" w:lineRule="atLeast"/>
        <w:rPr>
          <w:rFonts w:ascii="Arial" w:hAnsi="Arial" w:cs="Arial"/>
          <w:bCs/>
          <w:sz w:val="22"/>
          <w:szCs w:val="22"/>
        </w:rPr>
      </w:pPr>
    </w:p>
    <w:p w:rsidR="009D3865" w:rsidRDefault="009D3865" w:rsidP="009D3865">
      <w:pPr>
        <w:pStyle w:val="Heading3"/>
        <w:rPr>
          <w:rFonts w:cs="Arial"/>
          <w:sz w:val="22"/>
          <w:szCs w:val="22"/>
        </w:rPr>
      </w:pPr>
      <w:r>
        <w:rPr>
          <w:rFonts w:cs="Arial"/>
          <w:sz w:val="22"/>
          <w:szCs w:val="22"/>
        </w:rPr>
        <w:t>Financial Reporting Entity</w:t>
      </w:r>
    </w:p>
    <w:p w:rsidR="009D3865" w:rsidRDefault="005E46B0" w:rsidP="009D3865">
      <w:pPr>
        <w:spacing w:line="240" w:lineRule="atLeast"/>
        <w:jc w:val="both"/>
        <w:rPr>
          <w:rFonts w:ascii="Arial" w:hAnsi="Arial" w:cs="Arial"/>
          <w:sz w:val="22"/>
          <w:szCs w:val="22"/>
        </w:rPr>
      </w:pPr>
      <w:r>
        <w:rPr>
          <w:rFonts w:ascii="Arial" w:hAnsi="Arial" w:cs="Arial"/>
          <w:sz w:val="22"/>
          <w:szCs w:val="22"/>
        </w:rPr>
        <w:t>The (NAME) is organized under the provisions of Minnesota Statutes Chapter 103C.  The District is governed by a Board of Supervisors composed of five members nominated by voters of the District and elected to four-year terms by the voters of the County</w:t>
      </w:r>
      <w:r w:rsidR="009D3865">
        <w:rPr>
          <w:rFonts w:ascii="Arial" w:hAnsi="Arial" w:cs="Arial"/>
          <w:sz w:val="22"/>
          <w:szCs w:val="22"/>
        </w:rPr>
        <w:t>.</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The purpose of the </w:t>
      </w:r>
      <w:r w:rsidR="00052D19">
        <w:rPr>
          <w:rFonts w:ascii="Arial" w:hAnsi="Arial" w:cs="Arial"/>
          <w:sz w:val="22"/>
          <w:szCs w:val="22"/>
        </w:rPr>
        <w:t>District</w:t>
      </w:r>
      <w:r>
        <w:rPr>
          <w:rFonts w:ascii="Arial" w:hAnsi="Arial" w:cs="Arial"/>
          <w:sz w:val="22"/>
          <w:szCs w:val="22"/>
        </w:rPr>
        <w:t xml:space="preserve"> is to assist land occupiers in applying practices for the conservation of soil and water resources.  These practices are intended to control wind and water erosion, pollution of lakes and streams, and damage to wetlands and wildlife habitats.</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The </w:t>
      </w:r>
      <w:r w:rsidR="00052D19">
        <w:rPr>
          <w:rFonts w:ascii="Arial" w:hAnsi="Arial" w:cs="Arial"/>
          <w:sz w:val="22"/>
          <w:szCs w:val="22"/>
        </w:rPr>
        <w:t>District</w:t>
      </w:r>
      <w:r>
        <w:rPr>
          <w:rFonts w:ascii="Arial" w:hAnsi="Arial" w:cs="Arial"/>
          <w:sz w:val="22"/>
          <w:szCs w:val="22"/>
        </w:rPr>
        <w:t xml:space="preserve"> provides technical and financial assistance to individuals, groups, </w:t>
      </w:r>
      <w:r w:rsidR="00052D19">
        <w:rPr>
          <w:rFonts w:ascii="Arial" w:hAnsi="Arial" w:cs="Arial"/>
          <w:sz w:val="22"/>
          <w:szCs w:val="22"/>
        </w:rPr>
        <w:t>District</w:t>
      </w:r>
      <w:r>
        <w:rPr>
          <w:rFonts w:ascii="Arial" w:hAnsi="Arial" w:cs="Arial"/>
          <w:sz w:val="22"/>
          <w:szCs w:val="22"/>
        </w:rPr>
        <w:t>s, and governments in reducing costly waste of soil and water resulting from soil erosion, sedimentation, pollution and improper land use.</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Each fiscal year the </w:t>
      </w:r>
      <w:r w:rsidR="00052D19">
        <w:rPr>
          <w:rFonts w:ascii="Arial" w:hAnsi="Arial" w:cs="Arial"/>
          <w:sz w:val="22"/>
          <w:szCs w:val="22"/>
        </w:rPr>
        <w:t>District</w:t>
      </w:r>
      <w:r>
        <w:rPr>
          <w:rFonts w:ascii="Arial" w:hAnsi="Arial" w:cs="Arial"/>
          <w:sz w:val="22"/>
          <w:szCs w:val="22"/>
        </w:rPr>
        <w:t xml:space="preserve"> develops a work plan which is used as a guide in using resources effectively to provide maximum conservation of all lands within its boundaries.  The work plan includes guidelines for employees and technicians to follow in order to achieve the </w:t>
      </w:r>
      <w:r w:rsidR="00052D19">
        <w:rPr>
          <w:rFonts w:ascii="Arial" w:hAnsi="Arial" w:cs="Arial"/>
          <w:sz w:val="22"/>
          <w:szCs w:val="22"/>
        </w:rPr>
        <w:t>District</w:t>
      </w:r>
      <w:r>
        <w:rPr>
          <w:rFonts w:ascii="Arial" w:hAnsi="Arial" w:cs="Arial"/>
          <w:sz w:val="22"/>
          <w:szCs w:val="22"/>
        </w:rPr>
        <w:t>'s objectives.</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Generally accepted accounting principles require that the financial reporting entity include the primary government and component units for which the primary government is financially accountable. Under these principles the </w:t>
      </w:r>
      <w:r w:rsidR="00052D19">
        <w:rPr>
          <w:rFonts w:ascii="Arial" w:hAnsi="Arial" w:cs="Arial"/>
          <w:sz w:val="22"/>
          <w:szCs w:val="22"/>
        </w:rPr>
        <w:t>District</w:t>
      </w:r>
      <w:r>
        <w:rPr>
          <w:rFonts w:ascii="Arial" w:hAnsi="Arial" w:cs="Arial"/>
          <w:sz w:val="22"/>
          <w:szCs w:val="22"/>
        </w:rPr>
        <w:t xml:space="preserve"> does not have any component units. </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rPr>
          <w:rFonts w:ascii="Arial" w:hAnsi="Arial" w:cs="Arial"/>
          <w:sz w:val="22"/>
          <w:szCs w:val="22"/>
          <w:u w:val="single"/>
        </w:rPr>
      </w:pPr>
      <w:r>
        <w:rPr>
          <w:rFonts w:ascii="Arial" w:hAnsi="Arial" w:cs="Arial"/>
          <w:sz w:val="22"/>
          <w:szCs w:val="22"/>
          <w:u w:val="single"/>
        </w:rPr>
        <w:t>Government-Wide Financial Statements</w:t>
      </w: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The government-wide financial statements (i.e. The Statement of Net Position and The Statement of Activities) report information on all of the </w:t>
      </w:r>
      <w:proofErr w:type="spellStart"/>
      <w:r>
        <w:rPr>
          <w:rFonts w:ascii="Arial" w:hAnsi="Arial" w:cs="Arial"/>
          <w:sz w:val="22"/>
          <w:szCs w:val="22"/>
        </w:rPr>
        <w:t>nonfiduciary</w:t>
      </w:r>
      <w:proofErr w:type="spellEnd"/>
      <w:r>
        <w:rPr>
          <w:rFonts w:ascii="Arial" w:hAnsi="Arial" w:cs="Arial"/>
          <w:sz w:val="22"/>
          <w:szCs w:val="22"/>
        </w:rPr>
        <w:t xml:space="preserve"> activities of the </w:t>
      </w:r>
      <w:r w:rsidR="00052D19">
        <w:rPr>
          <w:rFonts w:ascii="Arial" w:hAnsi="Arial" w:cs="Arial"/>
          <w:sz w:val="22"/>
          <w:szCs w:val="22"/>
        </w:rPr>
        <w:t>District</w:t>
      </w:r>
      <w:r>
        <w:rPr>
          <w:rFonts w:ascii="Arial" w:hAnsi="Arial" w:cs="Arial"/>
          <w:sz w:val="22"/>
          <w:szCs w:val="22"/>
        </w:rPr>
        <w:t xml:space="preserve">.  </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The Statement of Activities demonstrates the degree to which the direct expenses of a given function or segment are offset by program revenues.  Direct expenses are those that are clearly identifiable with a specific function. </w:t>
      </w:r>
    </w:p>
    <w:p w:rsidR="009D3865" w:rsidRDefault="009D3865" w:rsidP="009D3865">
      <w:pPr>
        <w:spacing w:line="240" w:lineRule="atLeast"/>
        <w:rPr>
          <w:rFonts w:ascii="Arial" w:hAnsi="Arial" w:cs="Arial"/>
          <w:sz w:val="22"/>
          <w:szCs w:val="22"/>
        </w:rPr>
      </w:pPr>
    </w:p>
    <w:p w:rsidR="00B8417B" w:rsidRDefault="009D3865" w:rsidP="009D3865">
      <w:pPr>
        <w:spacing w:line="240" w:lineRule="atLeast"/>
        <w:jc w:val="both"/>
        <w:rPr>
          <w:rFonts w:ascii="Arial" w:hAnsi="Arial" w:cs="Arial"/>
          <w:sz w:val="22"/>
          <w:szCs w:val="22"/>
        </w:rPr>
      </w:pPr>
      <w:r>
        <w:rPr>
          <w:rFonts w:ascii="Arial" w:hAnsi="Arial" w:cs="Arial"/>
          <w:sz w:val="22"/>
          <w:szCs w:val="22"/>
        </w:rPr>
        <w:t>The government-wide financial statements are reported using the economic resources measurement focus and the accrual basis of accounting.  Revenues are recorded when earned and expenses are recorded when a liability is incurred, regardless of the timing of cash flows.  Grants and similar items are recognized as revenues as soon as all eligibility requirements imposed by the provider have been met.</w:t>
      </w:r>
    </w:p>
    <w:p w:rsidR="00B8417B" w:rsidRDefault="00B8417B" w:rsidP="009D3865">
      <w:pPr>
        <w:spacing w:line="240" w:lineRule="atLeast"/>
        <w:jc w:val="both"/>
        <w:rPr>
          <w:rFonts w:ascii="Arial" w:hAnsi="Arial" w:cs="Arial"/>
          <w:sz w:val="22"/>
          <w:szCs w:val="22"/>
        </w:rPr>
      </w:pPr>
    </w:p>
    <w:p w:rsidR="00B8417B" w:rsidRDefault="00B8417B" w:rsidP="009D3865">
      <w:pPr>
        <w:spacing w:line="240" w:lineRule="atLeast"/>
        <w:jc w:val="both"/>
        <w:rPr>
          <w:rFonts w:ascii="Arial" w:hAnsi="Arial" w:cs="Arial"/>
          <w:sz w:val="22"/>
          <w:szCs w:val="22"/>
        </w:rPr>
      </w:pPr>
    </w:p>
    <w:p w:rsidR="000211C5" w:rsidRDefault="009D3865" w:rsidP="009D3865">
      <w:pPr>
        <w:spacing w:line="240" w:lineRule="atLeast"/>
        <w:jc w:val="both"/>
        <w:rPr>
          <w:rFonts w:ascii="Arial" w:hAnsi="Arial" w:cs="Arial"/>
          <w:sz w:val="22"/>
          <w:szCs w:val="22"/>
        </w:rPr>
        <w:sectPr w:rsidR="000211C5" w:rsidSect="005A35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800" w:header="720" w:footer="720" w:gutter="0"/>
          <w:pgNumType w:start="10"/>
          <w:cols w:space="720"/>
        </w:sectPr>
      </w:pPr>
      <w:r>
        <w:rPr>
          <w:rFonts w:ascii="Arial" w:hAnsi="Arial" w:cs="Arial"/>
          <w:sz w:val="22"/>
          <w:szCs w:val="22"/>
        </w:rPr>
        <w:t xml:space="preserve">  </w:t>
      </w:r>
    </w:p>
    <w:p w:rsidR="009D3865" w:rsidRDefault="009D3865" w:rsidP="009D3865">
      <w:pPr>
        <w:spacing w:line="240" w:lineRule="atLeast"/>
        <w:jc w:val="both"/>
        <w:rPr>
          <w:rFonts w:ascii="Arial" w:hAnsi="Arial" w:cs="Arial"/>
          <w:sz w:val="22"/>
          <w:szCs w:val="22"/>
        </w:rPr>
      </w:pPr>
    </w:p>
    <w:p w:rsidR="004B79DA" w:rsidRDefault="004B79DA" w:rsidP="004B79DA">
      <w:pPr>
        <w:pStyle w:val="Heading5"/>
        <w:tabs>
          <w:tab w:val="left" w:pos="12960"/>
        </w:tabs>
        <w:ind w:left="0"/>
        <w:rPr>
          <w:rFonts w:cs="Arial"/>
          <w:sz w:val="22"/>
          <w:szCs w:val="22"/>
        </w:rPr>
      </w:pPr>
      <w:r>
        <w:rPr>
          <w:rFonts w:cs="Arial"/>
          <w:sz w:val="22"/>
          <w:szCs w:val="22"/>
        </w:rPr>
        <w:t>Fund Financial Statements</w:t>
      </w:r>
    </w:p>
    <w:p w:rsidR="004B79DA" w:rsidRDefault="004B79DA" w:rsidP="004B79DA">
      <w:pPr>
        <w:pStyle w:val="Header"/>
        <w:tabs>
          <w:tab w:val="clear" w:pos="4320"/>
          <w:tab w:val="clear" w:pos="8640"/>
          <w:tab w:val="left" w:pos="12960"/>
        </w:tabs>
        <w:jc w:val="both"/>
        <w:rPr>
          <w:rFonts w:ascii="Arial" w:hAnsi="Arial" w:cs="Arial"/>
          <w:sz w:val="22"/>
          <w:szCs w:val="22"/>
        </w:rPr>
      </w:pPr>
      <w:r>
        <w:rPr>
          <w:rFonts w:ascii="Arial" w:hAnsi="Arial" w:cs="Arial"/>
          <w:sz w:val="22"/>
          <w:szCs w:val="22"/>
        </w:rPr>
        <w:t>The government reports the General Fund as its only major governmental fund.  The general fund accounts for all financial resources of the government.</w:t>
      </w:r>
    </w:p>
    <w:p w:rsidR="004B79DA" w:rsidRDefault="004B79DA" w:rsidP="009D3865">
      <w:pPr>
        <w:spacing w:line="240" w:lineRule="atLeast"/>
        <w:jc w:val="both"/>
        <w:rPr>
          <w:rFonts w:ascii="Arial" w:hAnsi="Arial" w:cs="Arial"/>
          <w:sz w:val="22"/>
          <w:szCs w:val="22"/>
        </w:rPr>
      </w:pPr>
    </w:p>
    <w:p w:rsidR="009D3865" w:rsidRDefault="009D3865" w:rsidP="009D3865">
      <w:pPr>
        <w:jc w:val="both"/>
        <w:rPr>
          <w:rFonts w:ascii="Arial" w:hAnsi="Arial" w:cs="Arial"/>
          <w:sz w:val="22"/>
          <w:szCs w:val="22"/>
        </w:rPr>
      </w:pPr>
      <w:r>
        <w:rPr>
          <w:rFonts w:ascii="Arial" w:hAnsi="Arial" w:cs="Arial"/>
          <w:sz w:val="22"/>
          <w:szCs w:val="22"/>
        </w:rPr>
        <w:t xml:space="preserve">Governmental fund financial statements are reported using the </w:t>
      </w:r>
      <w:r>
        <w:rPr>
          <w:rFonts w:ascii="Arial" w:hAnsi="Arial" w:cs="Arial"/>
          <w:iCs/>
          <w:sz w:val="22"/>
          <w:szCs w:val="22"/>
        </w:rPr>
        <w:t xml:space="preserve">current financial resources measurement focus </w:t>
      </w:r>
      <w:r>
        <w:rPr>
          <w:rFonts w:ascii="Arial" w:hAnsi="Arial" w:cs="Arial"/>
          <w:sz w:val="22"/>
          <w:szCs w:val="22"/>
        </w:rPr>
        <w:t xml:space="preserve">and the </w:t>
      </w:r>
      <w:r>
        <w:rPr>
          <w:rFonts w:ascii="Arial" w:hAnsi="Arial" w:cs="Arial"/>
          <w:iCs/>
          <w:sz w:val="22"/>
          <w:szCs w:val="22"/>
        </w:rPr>
        <w:t>modified accrual basis of accounting</w:t>
      </w:r>
      <w:r>
        <w:rPr>
          <w:rFonts w:ascii="Arial" w:hAnsi="Arial" w:cs="Arial"/>
          <w:sz w:val="22"/>
          <w:szCs w:val="22"/>
        </w:rPr>
        <w:t xml:space="preserve">. Revenues are recognized as soon as they are both measurable and available. Revenues are considered to be </w:t>
      </w:r>
      <w:r>
        <w:rPr>
          <w:rFonts w:ascii="Arial" w:hAnsi="Arial" w:cs="Arial"/>
          <w:iCs/>
          <w:sz w:val="22"/>
          <w:szCs w:val="22"/>
        </w:rPr>
        <w:t xml:space="preserve">available </w:t>
      </w:r>
      <w:r>
        <w:rPr>
          <w:rFonts w:ascii="Arial" w:hAnsi="Arial" w:cs="Arial"/>
          <w:sz w:val="22"/>
          <w:szCs w:val="22"/>
        </w:rPr>
        <w:t xml:space="preserve">when they are collectible within the current period or soon enough thereafter to pay liabilities of the current period. For this purpose, the </w:t>
      </w:r>
      <w:r w:rsidR="00052D19">
        <w:rPr>
          <w:rFonts w:ascii="Arial" w:hAnsi="Arial" w:cs="Arial"/>
          <w:sz w:val="22"/>
          <w:szCs w:val="22"/>
        </w:rPr>
        <w:t>District</w:t>
      </w:r>
      <w:r>
        <w:rPr>
          <w:rFonts w:ascii="Arial" w:hAnsi="Arial" w:cs="Arial"/>
          <w:sz w:val="22"/>
          <w:szCs w:val="22"/>
        </w:rPr>
        <w:t xml:space="preserve"> considers all revenues, except reimbursement grants, to be available if they are collected within 60 days of the end of the current fiscal period.</w:t>
      </w:r>
    </w:p>
    <w:p w:rsidR="009D3865" w:rsidRDefault="009D3865" w:rsidP="009D3865">
      <w:pPr>
        <w:rPr>
          <w:rFonts w:ascii="Arial" w:hAnsi="Arial" w:cs="Arial"/>
          <w:sz w:val="22"/>
          <w:szCs w:val="22"/>
        </w:rPr>
      </w:pPr>
    </w:p>
    <w:p w:rsidR="009D3865" w:rsidRDefault="009D3865" w:rsidP="009D3865">
      <w:pPr>
        <w:jc w:val="both"/>
        <w:rPr>
          <w:rFonts w:ascii="Arial" w:hAnsi="Arial" w:cs="Arial"/>
          <w:sz w:val="22"/>
          <w:szCs w:val="22"/>
        </w:rPr>
      </w:pPr>
      <w:r>
        <w:rPr>
          <w:rFonts w:ascii="Arial" w:hAnsi="Arial" w:cs="Arial"/>
          <w:sz w:val="22"/>
          <w:szCs w:val="22"/>
        </w:rPr>
        <w:t xml:space="preserve">Reimbursement grants are considered available if they are collected within one year of the end of the current fiscal period. Expenditures are recorded when a liability is incurred under accrual accounting. </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Intergovernmental revenues are reported in conformity with the legal and contractual requirements of the individual programs.  Generally, grant revenues are recognized when the corresponding expenditures are incurred.  </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Investment earnings are recognized when earned.  Other revenues are recognized when they are received in cash because they usually are not measurable until then. </w:t>
      </w:r>
    </w:p>
    <w:p w:rsidR="009D3865" w:rsidRDefault="009D3865" w:rsidP="009D3865">
      <w:pPr>
        <w:spacing w:line="240" w:lineRule="atLeast"/>
        <w:rPr>
          <w:rFonts w:ascii="Arial" w:hAnsi="Arial" w:cs="Arial"/>
          <w:sz w:val="22"/>
          <w:szCs w:val="22"/>
        </w:rPr>
      </w:pPr>
    </w:p>
    <w:p w:rsidR="009D3865" w:rsidRDefault="009D3865" w:rsidP="009D3865">
      <w:pPr>
        <w:pStyle w:val="BodyTextIndent"/>
        <w:ind w:firstLine="0"/>
        <w:jc w:val="both"/>
        <w:rPr>
          <w:rFonts w:cs="Arial"/>
          <w:sz w:val="22"/>
          <w:szCs w:val="22"/>
        </w:rPr>
      </w:pPr>
      <w:r>
        <w:rPr>
          <w:rFonts w:cs="Arial"/>
          <w:sz w:val="22"/>
          <w:szCs w:val="22"/>
        </w:rPr>
        <w:t xml:space="preserve">In accordance with Governmental Accounting Standards </w:t>
      </w:r>
      <w:r w:rsidR="00052D19">
        <w:rPr>
          <w:rFonts w:cs="Arial"/>
          <w:sz w:val="22"/>
          <w:szCs w:val="22"/>
        </w:rPr>
        <w:t>Board</w:t>
      </w:r>
      <w:r>
        <w:rPr>
          <w:rFonts w:cs="Arial"/>
          <w:sz w:val="22"/>
          <w:szCs w:val="22"/>
        </w:rPr>
        <w:t xml:space="preserve"> Statement No. 33, </w:t>
      </w:r>
      <w:r>
        <w:rPr>
          <w:rFonts w:cs="Arial"/>
          <w:i/>
          <w:sz w:val="22"/>
          <w:szCs w:val="22"/>
        </w:rPr>
        <w:t>Accounting and</w:t>
      </w:r>
      <w:r>
        <w:rPr>
          <w:rFonts w:cs="Arial"/>
          <w:sz w:val="22"/>
          <w:szCs w:val="22"/>
        </w:rPr>
        <w:t xml:space="preserve"> </w:t>
      </w:r>
      <w:r>
        <w:rPr>
          <w:rFonts w:cs="Arial"/>
          <w:i/>
          <w:sz w:val="22"/>
          <w:szCs w:val="22"/>
        </w:rPr>
        <w:t xml:space="preserve">Financial Reporting for </w:t>
      </w:r>
      <w:proofErr w:type="spellStart"/>
      <w:r>
        <w:rPr>
          <w:rFonts w:cs="Arial"/>
          <w:i/>
          <w:sz w:val="22"/>
          <w:szCs w:val="22"/>
        </w:rPr>
        <w:t>Nonexchange</w:t>
      </w:r>
      <w:proofErr w:type="spellEnd"/>
      <w:r>
        <w:rPr>
          <w:rFonts w:cs="Arial"/>
          <w:i/>
          <w:sz w:val="22"/>
          <w:szCs w:val="22"/>
        </w:rPr>
        <w:t xml:space="preserve"> Transactions</w:t>
      </w:r>
      <w:r>
        <w:rPr>
          <w:rFonts w:cs="Arial"/>
          <w:sz w:val="22"/>
          <w:szCs w:val="22"/>
        </w:rPr>
        <w:t xml:space="preserve">, revenues for </w:t>
      </w:r>
      <w:proofErr w:type="spellStart"/>
      <w:r>
        <w:rPr>
          <w:rFonts w:cs="Arial"/>
          <w:sz w:val="22"/>
          <w:szCs w:val="22"/>
        </w:rPr>
        <w:t>nonexchange</w:t>
      </w:r>
      <w:proofErr w:type="spellEnd"/>
      <w:r>
        <w:rPr>
          <w:rFonts w:cs="Arial"/>
          <w:sz w:val="22"/>
          <w:szCs w:val="22"/>
        </w:rPr>
        <w:t xml:space="preserve"> transactions are recognized based on the principal characteristics of the revenue.  Exchange transactions are recognized as revenue when the exchange occurs.</w:t>
      </w:r>
    </w:p>
    <w:p w:rsidR="009D3865" w:rsidRDefault="009D3865" w:rsidP="009D3865">
      <w:pPr>
        <w:pStyle w:val="BodyTextIndent"/>
        <w:rPr>
          <w:rFonts w:cs="Arial"/>
          <w:sz w:val="22"/>
          <w:szCs w:val="22"/>
        </w:rPr>
      </w:pPr>
    </w:p>
    <w:p w:rsidR="009D3865" w:rsidRDefault="009D3865" w:rsidP="009D3865">
      <w:pPr>
        <w:spacing w:line="240" w:lineRule="atLeast"/>
        <w:rPr>
          <w:rFonts w:ascii="Arial" w:hAnsi="Arial" w:cs="Arial"/>
          <w:sz w:val="22"/>
          <w:szCs w:val="22"/>
        </w:rPr>
      </w:pPr>
      <w:r>
        <w:rPr>
          <w:rFonts w:ascii="Arial" w:hAnsi="Arial" w:cs="Arial"/>
          <w:sz w:val="22"/>
          <w:szCs w:val="22"/>
          <w:u w:val="single"/>
        </w:rPr>
        <w:t>Budget Information</w:t>
      </w: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The </w:t>
      </w:r>
      <w:r w:rsidR="00052D19">
        <w:rPr>
          <w:rFonts w:ascii="Arial" w:hAnsi="Arial" w:cs="Arial"/>
          <w:sz w:val="22"/>
          <w:szCs w:val="22"/>
        </w:rPr>
        <w:t>District</w:t>
      </w:r>
      <w:r>
        <w:rPr>
          <w:rFonts w:ascii="Arial" w:hAnsi="Arial" w:cs="Arial"/>
          <w:sz w:val="22"/>
          <w:szCs w:val="22"/>
        </w:rPr>
        <w:t xml:space="preserve"> adopts an estimated revenue and expenditure budget for the general fund.  Comparisons of estimated revenues and budgeted expenditures to actual are presented in the financial statements in accordance with generally accepted accounting principles.  Amendments to the original budget require </w:t>
      </w:r>
      <w:r w:rsidR="00052D19">
        <w:rPr>
          <w:rFonts w:ascii="Arial" w:hAnsi="Arial" w:cs="Arial"/>
          <w:sz w:val="22"/>
          <w:szCs w:val="22"/>
        </w:rPr>
        <w:t>District</w:t>
      </w:r>
      <w:r>
        <w:rPr>
          <w:rFonts w:ascii="Arial" w:hAnsi="Arial" w:cs="Arial"/>
          <w:sz w:val="22"/>
          <w:szCs w:val="22"/>
        </w:rPr>
        <w:t xml:space="preserve"> approval.  Appropriations lapse at year-end.  The </w:t>
      </w:r>
      <w:r w:rsidR="00052D19">
        <w:rPr>
          <w:rFonts w:ascii="Arial" w:hAnsi="Arial" w:cs="Arial"/>
          <w:sz w:val="22"/>
          <w:szCs w:val="22"/>
        </w:rPr>
        <w:t>District</w:t>
      </w:r>
      <w:r>
        <w:rPr>
          <w:rFonts w:ascii="Arial" w:hAnsi="Arial" w:cs="Arial"/>
          <w:sz w:val="22"/>
          <w:szCs w:val="22"/>
        </w:rPr>
        <w:t xml:space="preserve"> does not use encumbrance accounting. </w:t>
      </w:r>
    </w:p>
    <w:p w:rsidR="009D3865" w:rsidRDefault="009D3865" w:rsidP="009D3865">
      <w:pPr>
        <w:rPr>
          <w:rFonts w:ascii="Arial" w:hAnsi="Arial" w:cs="Arial"/>
          <w:sz w:val="22"/>
          <w:szCs w:val="22"/>
          <w:u w:val="single"/>
        </w:rPr>
      </w:pPr>
    </w:p>
    <w:p w:rsidR="009D3865" w:rsidRDefault="009D3865" w:rsidP="009D3865">
      <w:pPr>
        <w:rPr>
          <w:rFonts w:ascii="Arial" w:hAnsi="Arial" w:cs="Arial"/>
          <w:sz w:val="22"/>
          <w:szCs w:val="22"/>
        </w:rPr>
      </w:pPr>
      <w:r>
        <w:rPr>
          <w:rFonts w:ascii="Arial" w:hAnsi="Arial" w:cs="Arial"/>
          <w:sz w:val="22"/>
          <w:szCs w:val="22"/>
          <w:u w:val="single"/>
        </w:rPr>
        <w:t>Use of Estimates</w:t>
      </w:r>
    </w:p>
    <w:p w:rsidR="009D3865" w:rsidRDefault="009D3865" w:rsidP="009D3865">
      <w:pPr>
        <w:jc w:val="both"/>
        <w:rPr>
          <w:rFonts w:ascii="Arial" w:hAnsi="Arial" w:cs="Arial"/>
          <w:sz w:val="22"/>
          <w:szCs w:val="22"/>
        </w:rPr>
      </w:pPr>
      <w:r>
        <w:rPr>
          <w:rFonts w:ascii="Arial" w:hAnsi="Arial" w:cs="Arial"/>
          <w:sz w:val="22"/>
          <w:szCs w:val="22"/>
        </w:rPr>
        <w:t>The preparation of financial statements in conformity with generally accepted accounting principles requires management to make estimates and assumptions which affect: the reported amounts of assets and liabilities, the disclosure of contingent assets and liabilities at the date of the financial statements, and the reported amounts of revenues and expenditures during the reporting period.  Actual results could differ from those estimates.</w:t>
      </w:r>
      <w:bookmarkStart w:id="0" w:name="OLE_LINK1"/>
    </w:p>
    <w:p w:rsidR="009D3865" w:rsidRDefault="009D3865" w:rsidP="009D3865">
      <w:pPr>
        <w:jc w:val="both"/>
        <w:rPr>
          <w:rFonts w:ascii="Arial" w:hAnsi="Arial" w:cs="Arial"/>
          <w:sz w:val="22"/>
          <w:szCs w:val="22"/>
        </w:rPr>
      </w:pPr>
    </w:p>
    <w:p w:rsidR="009D3865" w:rsidRDefault="009D3865" w:rsidP="009D3865">
      <w:pPr>
        <w:spacing w:line="240" w:lineRule="atLeast"/>
        <w:rPr>
          <w:rFonts w:ascii="Arial" w:hAnsi="Arial" w:cs="Arial"/>
          <w:sz w:val="22"/>
          <w:szCs w:val="22"/>
          <w:u w:val="single"/>
        </w:rPr>
      </w:pPr>
      <w:r>
        <w:rPr>
          <w:rFonts w:ascii="Arial" w:hAnsi="Arial" w:cs="Arial"/>
          <w:sz w:val="22"/>
          <w:szCs w:val="22"/>
          <w:u w:val="single"/>
        </w:rPr>
        <w:t>Assets,</w:t>
      </w:r>
      <w:r w:rsidR="000211C5">
        <w:rPr>
          <w:rFonts w:ascii="Arial" w:hAnsi="Arial" w:cs="Arial"/>
          <w:sz w:val="22"/>
          <w:szCs w:val="22"/>
          <w:u w:val="single"/>
        </w:rPr>
        <w:t xml:space="preserve"> Deferred Outflows of Resources, </w:t>
      </w:r>
      <w:r>
        <w:rPr>
          <w:rFonts w:ascii="Arial" w:hAnsi="Arial" w:cs="Arial"/>
          <w:sz w:val="22"/>
          <w:szCs w:val="22"/>
          <w:u w:val="single"/>
        </w:rPr>
        <w:t>Liabilities</w:t>
      </w:r>
      <w:r w:rsidR="000211C5">
        <w:rPr>
          <w:rFonts w:ascii="Arial" w:hAnsi="Arial" w:cs="Arial"/>
          <w:sz w:val="22"/>
          <w:szCs w:val="22"/>
          <w:u w:val="single"/>
        </w:rPr>
        <w:t>, Deferred Inflows of Resources,</w:t>
      </w:r>
      <w:r>
        <w:rPr>
          <w:rFonts w:ascii="Arial" w:hAnsi="Arial" w:cs="Arial"/>
          <w:sz w:val="22"/>
          <w:szCs w:val="22"/>
          <w:u w:val="single"/>
        </w:rPr>
        <w:t xml:space="preserve"> and </w:t>
      </w:r>
      <w:r w:rsidR="000211C5">
        <w:rPr>
          <w:rFonts w:ascii="Arial" w:hAnsi="Arial" w:cs="Arial"/>
          <w:sz w:val="22"/>
          <w:szCs w:val="22"/>
          <w:u w:val="single"/>
        </w:rPr>
        <w:t>Net Position</w:t>
      </w:r>
    </w:p>
    <w:p w:rsidR="009D3865" w:rsidRDefault="009D3865" w:rsidP="009D3865">
      <w:pPr>
        <w:spacing w:line="240" w:lineRule="atLeast"/>
        <w:rPr>
          <w:rFonts w:ascii="Arial" w:hAnsi="Arial" w:cs="Arial"/>
          <w:sz w:val="22"/>
          <w:szCs w:val="22"/>
          <w:u w:val="single"/>
        </w:rPr>
      </w:pPr>
    </w:p>
    <w:p w:rsidR="009D3865" w:rsidRDefault="009D3865" w:rsidP="009D3865">
      <w:pPr>
        <w:spacing w:line="240" w:lineRule="atLeast"/>
        <w:ind w:left="720"/>
        <w:rPr>
          <w:rFonts w:ascii="Arial" w:hAnsi="Arial" w:cs="Arial"/>
          <w:sz w:val="22"/>
          <w:szCs w:val="22"/>
          <w:u w:val="single"/>
        </w:rPr>
      </w:pPr>
      <w:r>
        <w:rPr>
          <w:rFonts w:ascii="Arial" w:hAnsi="Arial" w:cs="Arial"/>
          <w:sz w:val="22"/>
          <w:szCs w:val="22"/>
          <w:u w:val="single"/>
        </w:rPr>
        <w:t>Assets</w:t>
      </w:r>
    </w:p>
    <w:p w:rsidR="009D3865" w:rsidRDefault="009D3865" w:rsidP="009D3865">
      <w:pPr>
        <w:pStyle w:val="BodyTextIndent"/>
        <w:ind w:left="720" w:firstLine="0"/>
        <w:jc w:val="both"/>
        <w:rPr>
          <w:rFonts w:cs="Arial"/>
          <w:sz w:val="22"/>
          <w:szCs w:val="22"/>
        </w:rPr>
      </w:pPr>
      <w:r>
        <w:rPr>
          <w:rFonts w:cs="Arial"/>
          <w:sz w:val="22"/>
          <w:szCs w:val="22"/>
        </w:rPr>
        <w:t xml:space="preserve">Investments are stated at fair value, except for non-negotiable certificates of deposit, which are on a cost basis, and short-term money market investments, which are stated at amortized cost. </w:t>
      </w:r>
    </w:p>
    <w:p w:rsidR="009D3865" w:rsidRDefault="009D3865" w:rsidP="009D3865">
      <w:pPr>
        <w:spacing w:line="240" w:lineRule="atLeast"/>
        <w:ind w:left="720"/>
        <w:rPr>
          <w:rFonts w:ascii="Arial" w:hAnsi="Arial" w:cs="Arial"/>
          <w:sz w:val="22"/>
          <w:szCs w:val="22"/>
        </w:rPr>
      </w:pPr>
    </w:p>
    <w:p w:rsidR="00B57077" w:rsidRDefault="00B57077" w:rsidP="00B57077">
      <w:pPr>
        <w:spacing w:line="240" w:lineRule="atLeast"/>
        <w:ind w:left="720"/>
        <w:jc w:val="both"/>
        <w:rPr>
          <w:rFonts w:ascii="Arial" w:hAnsi="Arial" w:cs="Arial"/>
          <w:sz w:val="22"/>
          <w:szCs w:val="22"/>
        </w:rPr>
        <w:sectPr w:rsidR="00B57077">
          <w:footerReference w:type="default" r:id="rId14"/>
          <w:pgSz w:w="12240" w:h="15840"/>
          <w:pgMar w:top="1440" w:right="1440" w:bottom="1440" w:left="1800" w:header="720" w:footer="720" w:gutter="0"/>
          <w:cols w:space="720"/>
        </w:sectPr>
      </w:pPr>
    </w:p>
    <w:p w:rsidR="00B57077" w:rsidRDefault="00B57077" w:rsidP="00B57077">
      <w:pPr>
        <w:spacing w:line="240" w:lineRule="atLeast"/>
        <w:ind w:left="720"/>
        <w:jc w:val="both"/>
        <w:rPr>
          <w:rFonts w:ascii="Arial" w:hAnsi="Arial" w:cs="Arial"/>
          <w:sz w:val="22"/>
          <w:szCs w:val="22"/>
        </w:rPr>
      </w:pPr>
    </w:p>
    <w:p w:rsidR="00B57077" w:rsidRDefault="009D3865" w:rsidP="00B57077">
      <w:pPr>
        <w:spacing w:line="240" w:lineRule="atLeast"/>
        <w:ind w:left="720"/>
        <w:jc w:val="both"/>
        <w:rPr>
          <w:rFonts w:ascii="Arial" w:hAnsi="Arial" w:cs="Arial"/>
          <w:sz w:val="22"/>
          <w:szCs w:val="22"/>
        </w:rPr>
      </w:pPr>
      <w:r>
        <w:rPr>
          <w:rFonts w:ascii="Arial" w:hAnsi="Arial" w:cs="Arial"/>
          <w:sz w:val="22"/>
          <w:szCs w:val="22"/>
        </w:rPr>
        <w:t xml:space="preserve">Capital assets are reported on a net (depreciated) basis. General capital assets are valued at historical or estimated historical cost. </w:t>
      </w:r>
    </w:p>
    <w:p w:rsidR="00B57077" w:rsidRDefault="00B57077" w:rsidP="00B57077">
      <w:pPr>
        <w:spacing w:line="240" w:lineRule="atLeast"/>
        <w:ind w:left="720"/>
        <w:jc w:val="both"/>
        <w:rPr>
          <w:rFonts w:ascii="Arial" w:hAnsi="Arial" w:cs="Arial"/>
          <w:sz w:val="22"/>
          <w:szCs w:val="22"/>
        </w:rPr>
      </w:pPr>
    </w:p>
    <w:p w:rsidR="009D3865" w:rsidRDefault="009D3865" w:rsidP="00B57077">
      <w:pPr>
        <w:spacing w:line="240" w:lineRule="atLeast"/>
        <w:ind w:left="720"/>
        <w:jc w:val="both"/>
        <w:rPr>
          <w:rFonts w:ascii="Arial" w:hAnsi="Arial" w:cs="Arial"/>
          <w:sz w:val="22"/>
          <w:szCs w:val="22"/>
        </w:rPr>
      </w:pPr>
      <w:r>
        <w:rPr>
          <w:rFonts w:ascii="Arial" w:hAnsi="Arial" w:cs="Arial"/>
          <w:sz w:val="22"/>
          <w:szCs w:val="22"/>
          <w:u w:val="single"/>
        </w:rPr>
        <w:t>Liabilities</w:t>
      </w:r>
    </w:p>
    <w:p w:rsidR="009D3865" w:rsidRDefault="009D3865" w:rsidP="009D3865">
      <w:pPr>
        <w:spacing w:line="240" w:lineRule="atLeast"/>
        <w:ind w:left="720"/>
        <w:jc w:val="both"/>
        <w:rPr>
          <w:rFonts w:ascii="Arial" w:hAnsi="Arial" w:cs="Arial"/>
          <w:sz w:val="22"/>
          <w:szCs w:val="22"/>
        </w:rPr>
      </w:pPr>
      <w:r>
        <w:rPr>
          <w:rFonts w:ascii="Arial" w:hAnsi="Arial" w:cs="Arial"/>
          <w:sz w:val="22"/>
          <w:szCs w:val="22"/>
        </w:rPr>
        <w:t>Long-term liabilities, such as compensated absences, are accounted for as an adjustment to net position.</w:t>
      </w:r>
    </w:p>
    <w:p w:rsidR="000211C5" w:rsidRDefault="000211C5" w:rsidP="009D3865">
      <w:pPr>
        <w:spacing w:line="240" w:lineRule="atLeast"/>
        <w:ind w:left="720"/>
        <w:jc w:val="both"/>
        <w:rPr>
          <w:rFonts w:ascii="Arial" w:hAnsi="Arial" w:cs="Arial"/>
          <w:sz w:val="22"/>
          <w:szCs w:val="22"/>
        </w:rPr>
      </w:pPr>
    </w:p>
    <w:p w:rsidR="000211C5" w:rsidRPr="000211C5" w:rsidRDefault="000211C5" w:rsidP="009D3865">
      <w:pPr>
        <w:spacing w:line="240" w:lineRule="atLeast"/>
        <w:ind w:left="720"/>
        <w:jc w:val="both"/>
        <w:rPr>
          <w:rFonts w:ascii="Arial" w:hAnsi="Arial" w:cs="Arial"/>
          <w:sz w:val="22"/>
          <w:szCs w:val="22"/>
          <w:u w:val="single"/>
        </w:rPr>
      </w:pPr>
      <w:r w:rsidRPr="000211C5">
        <w:rPr>
          <w:rFonts w:ascii="Arial" w:hAnsi="Arial" w:cs="Arial"/>
          <w:sz w:val="22"/>
          <w:szCs w:val="22"/>
          <w:u w:val="single"/>
        </w:rPr>
        <w:t>Unearned Revenue</w:t>
      </w:r>
    </w:p>
    <w:p w:rsidR="000211C5" w:rsidRDefault="000211C5" w:rsidP="009D3865">
      <w:pPr>
        <w:spacing w:line="240" w:lineRule="atLeast"/>
        <w:ind w:left="720"/>
        <w:jc w:val="both"/>
        <w:rPr>
          <w:rFonts w:ascii="Arial" w:hAnsi="Arial" w:cs="Arial"/>
          <w:sz w:val="22"/>
          <w:szCs w:val="22"/>
        </w:rPr>
      </w:pPr>
      <w:r>
        <w:rPr>
          <w:rFonts w:ascii="Arial" w:hAnsi="Arial" w:cs="Arial"/>
          <w:sz w:val="22"/>
          <w:szCs w:val="22"/>
        </w:rPr>
        <w:t>Governmental funds and government-wide financial statements report unearned revenue in connection with resources that have been received, but not yet earned.</w:t>
      </w:r>
    </w:p>
    <w:p w:rsidR="009D3865" w:rsidRDefault="009D3865" w:rsidP="009D3865">
      <w:pPr>
        <w:spacing w:line="240" w:lineRule="atLeast"/>
        <w:ind w:left="720"/>
        <w:rPr>
          <w:rFonts w:ascii="Arial" w:hAnsi="Arial" w:cs="Arial"/>
          <w:sz w:val="22"/>
          <w:szCs w:val="22"/>
        </w:rPr>
      </w:pPr>
    </w:p>
    <w:p w:rsidR="009D3865" w:rsidRDefault="009D3865" w:rsidP="009D3865">
      <w:pPr>
        <w:pStyle w:val="Heading5"/>
        <w:rPr>
          <w:rFonts w:cs="Arial"/>
          <w:sz w:val="22"/>
          <w:szCs w:val="22"/>
        </w:rPr>
      </w:pPr>
      <w:r>
        <w:rPr>
          <w:rFonts w:cs="Arial"/>
          <w:sz w:val="22"/>
          <w:szCs w:val="22"/>
        </w:rPr>
        <w:t xml:space="preserve">Classification of Net Position </w:t>
      </w:r>
    </w:p>
    <w:p w:rsidR="009D3865" w:rsidRDefault="009D3865" w:rsidP="009D3865">
      <w:pPr>
        <w:pStyle w:val="BodyTextIndent"/>
        <w:ind w:left="720" w:firstLine="0"/>
        <w:jc w:val="both"/>
        <w:rPr>
          <w:rFonts w:cs="Arial"/>
          <w:sz w:val="22"/>
          <w:szCs w:val="22"/>
        </w:rPr>
      </w:pPr>
      <w:r>
        <w:rPr>
          <w:rFonts w:cs="Arial"/>
          <w:sz w:val="22"/>
          <w:szCs w:val="22"/>
        </w:rPr>
        <w:t>Net position in the government-wide financial statements is classified in the following categories:</w:t>
      </w:r>
    </w:p>
    <w:p w:rsidR="009D3865" w:rsidRDefault="009D3865" w:rsidP="009D3865">
      <w:pPr>
        <w:pStyle w:val="BodyTextIndent"/>
        <w:rPr>
          <w:rFonts w:cs="Arial"/>
          <w:sz w:val="22"/>
          <w:szCs w:val="22"/>
        </w:rPr>
      </w:pPr>
    </w:p>
    <w:p w:rsidR="009D3865" w:rsidRDefault="009D3865" w:rsidP="009D3865">
      <w:pPr>
        <w:pStyle w:val="BodyTextIndent"/>
        <w:ind w:left="720" w:firstLine="0"/>
        <w:jc w:val="both"/>
        <w:rPr>
          <w:rFonts w:cs="Arial"/>
          <w:sz w:val="22"/>
          <w:szCs w:val="22"/>
        </w:rPr>
      </w:pPr>
      <w:r>
        <w:rPr>
          <w:rFonts w:cs="Arial"/>
          <w:sz w:val="22"/>
          <w:szCs w:val="22"/>
        </w:rPr>
        <w:t>Investment</w:t>
      </w:r>
      <w:r w:rsidR="007C5307">
        <w:rPr>
          <w:rFonts w:cs="Arial"/>
          <w:sz w:val="22"/>
          <w:szCs w:val="22"/>
        </w:rPr>
        <w:t>s</w:t>
      </w:r>
      <w:r>
        <w:rPr>
          <w:rFonts w:cs="Arial"/>
          <w:sz w:val="22"/>
          <w:szCs w:val="22"/>
        </w:rPr>
        <w:t xml:space="preserve"> in capital assets – the amount of net position representing capital assets net of accumulated depreciation. </w:t>
      </w:r>
    </w:p>
    <w:p w:rsidR="009D3865" w:rsidRDefault="009D3865" w:rsidP="009D3865">
      <w:pPr>
        <w:pStyle w:val="BodyTextIndent"/>
        <w:rPr>
          <w:rFonts w:cs="Arial"/>
          <w:sz w:val="22"/>
          <w:szCs w:val="22"/>
        </w:rPr>
      </w:pPr>
    </w:p>
    <w:p w:rsidR="009D3865" w:rsidRDefault="009D3865" w:rsidP="009D3865">
      <w:pPr>
        <w:pStyle w:val="BodyTextIndent"/>
        <w:ind w:left="720" w:firstLine="0"/>
        <w:jc w:val="both"/>
        <w:rPr>
          <w:rFonts w:cs="Arial"/>
          <w:sz w:val="22"/>
          <w:szCs w:val="22"/>
        </w:rPr>
      </w:pPr>
      <w:r>
        <w:rPr>
          <w:rFonts w:cs="Arial"/>
          <w:sz w:val="22"/>
          <w:szCs w:val="22"/>
        </w:rPr>
        <w:t xml:space="preserve">Restricted net position – the amount of net position for which external restrictions have been imposed by creditors, grantors, contributors, or laws or regulations of other governments; and restrictions imposed by law through constitutional provisions or enabling legislation. </w:t>
      </w:r>
    </w:p>
    <w:p w:rsidR="009D3865" w:rsidRDefault="009D3865" w:rsidP="009D3865">
      <w:pPr>
        <w:pStyle w:val="BodyTextIndent"/>
        <w:rPr>
          <w:rFonts w:cs="Arial"/>
          <w:sz w:val="22"/>
          <w:szCs w:val="22"/>
        </w:rPr>
      </w:pPr>
    </w:p>
    <w:p w:rsidR="009D3865" w:rsidRDefault="009D3865" w:rsidP="009D3865">
      <w:pPr>
        <w:pStyle w:val="BodyTextIndent"/>
        <w:ind w:left="720" w:firstLine="0"/>
        <w:jc w:val="both"/>
        <w:rPr>
          <w:rFonts w:cs="Arial"/>
          <w:sz w:val="22"/>
          <w:szCs w:val="22"/>
        </w:rPr>
      </w:pPr>
      <w:r>
        <w:rPr>
          <w:rFonts w:cs="Arial"/>
          <w:sz w:val="22"/>
          <w:szCs w:val="22"/>
        </w:rPr>
        <w:t xml:space="preserve">Unrestricted net position – the amount of net position that does not meet the definition of restricted or investment in capital assets. </w:t>
      </w:r>
    </w:p>
    <w:p w:rsidR="002126B7" w:rsidRDefault="002126B7" w:rsidP="009D3865">
      <w:pPr>
        <w:pStyle w:val="BodyTextIndent"/>
        <w:ind w:left="720" w:firstLine="0"/>
        <w:jc w:val="both"/>
        <w:rPr>
          <w:rFonts w:cs="Arial"/>
          <w:sz w:val="22"/>
          <w:szCs w:val="22"/>
        </w:rPr>
      </w:pPr>
    </w:p>
    <w:p w:rsidR="002126B7" w:rsidRDefault="002126B7" w:rsidP="002126B7">
      <w:pPr>
        <w:pStyle w:val="BodyTextIndent"/>
        <w:ind w:firstLine="0"/>
        <w:jc w:val="both"/>
        <w:rPr>
          <w:rFonts w:cs="Arial"/>
          <w:sz w:val="22"/>
          <w:szCs w:val="22"/>
          <w:u w:val="single"/>
        </w:rPr>
      </w:pPr>
      <w:r w:rsidRPr="002126B7">
        <w:rPr>
          <w:rFonts w:cs="Arial"/>
          <w:sz w:val="22"/>
          <w:szCs w:val="22"/>
          <w:u w:val="single"/>
        </w:rPr>
        <w:t>Deferred Outflows/Inflows of Resources</w:t>
      </w:r>
    </w:p>
    <w:p w:rsidR="002126B7" w:rsidRDefault="002126B7" w:rsidP="002126B7">
      <w:pPr>
        <w:pStyle w:val="BodyTextIndent"/>
        <w:ind w:firstLine="0"/>
        <w:jc w:val="both"/>
        <w:rPr>
          <w:rFonts w:cs="Arial"/>
          <w:sz w:val="22"/>
          <w:szCs w:val="22"/>
        </w:rPr>
      </w:pPr>
      <w:r>
        <w:rPr>
          <w:rFonts w:cs="Arial"/>
          <w:sz w:val="22"/>
          <w:szCs w:val="22"/>
        </w:rPr>
        <w:t xml:space="preserve">In addition to assets, the statement of financial position will </w:t>
      </w:r>
      <w:r w:rsidR="00AC603F">
        <w:rPr>
          <w:rFonts w:cs="Arial"/>
          <w:sz w:val="22"/>
          <w:szCs w:val="22"/>
        </w:rPr>
        <w:t xml:space="preserve">sometimes </w:t>
      </w:r>
      <w:r>
        <w:rPr>
          <w:rFonts w:cs="Arial"/>
          <w:sz w:val="22"/>
          <w:szCs w:val="22"/>
        </w:rPr>
        <w:t>report a separate section for deferred outflows of resources. This separate financial statement element, deferred outflows of resources, represents a consumption of net position that applies to</w:t>
      </w:r>
      <w:r w:rsidR="00AC603F">
        <w:rPr>
          <w:rFonts w:cs="Arial"/>
          <w:sz w:val="22"/>
          <w:szCs w:val="22"/>
        </w:rPr>
        <w:t xml:space="preserve"> future period</w:t>
      </w:r>
      <w:r>
        <w:rPr>
          <w:rFonts w:cs="Arial"/>
          <w:sz w:val="22"/>
          <w:szCs w:val="22"/>
        </w:rPr>
        <w:t xml:space="preserve">s and so will not be recognized as an outflow of resources (expense/expenditure) until then. Currently, the </w:t>
      </w:r>
      <w:r w:rsidR="00052D19">
        <w:rPr>
          <w:rFonts w:cs="Arial"/>
          <w:sz w:val="22"/>
          <w:szCs w:val="22"/>
        </w:rPr>
        <w:t>District</w:t>
      </w:r>
      <w:r>
        <w:rPr>
          <w:rFonts w:cs="Arial"/>
          <w:sz w:val="22"/>
          <w:szCs w:val="22"/>
        </w:rPr>
        <w:t xml:space="preserve"> has only one item that qualifies for reporting in this category, deferred amounts </w:t>
      </w:r>
      <w:r w:rsidR="00B802FA">
        <w:rPr>
          <w:rFonts w:cs="Arial"/>
          <w:sz w:val="22"/>
          <w:szCs w:val="22"/>
        </w:rPr>
        <w:t>related to their pension obligations</w:t>
      </w:r>
      <w:r>
        <w:rPr>
          <w:rFonts w:cs="Arial"/>
          <w:sz w:val="22"/>
          <w:szCs w:val="22"/>
        </w:rPr>
        <w:t xml:space="preserve">. </w:t>
      </w:r>
      <w:r w:rsidR="00AC603F">
        <w:rPr>
          <w:rFonts w:cs="Arial"/>
          <w:sz w:val="22"/>
          <w:szCs w:val="22"/>
        </w:rPr>
        <w:t>The length of the expense recognition period for deferred amounts is equal to the average of the expected remaining service lives of all employees that are provided with pensions through the pension plan, determined as of the beginning of the measurement period.</w:t>
      </w:r>
    </w:p>
    <w:p w:rsidR="002126B7" w:rsidRDefault="002126B7" w:rsidP="002126B7">
      <w:pPr>
        <w:pStyle w:val="BodyTextIndent"/>
        <w:ind w:firstLine="0"/>
        <w:jc w:val="both"/>
        <w:rPr>
          <w:rFonts w:cs="Arial"/>
          <w:sz w:val="22"/>
          <w:szCs w:val="22"/>
        </w:rPr>
      </w:pPr>
    </w:p>
    <w:p w:rsidR="002126B7" w:rsidRPr="002126B7" w:rsidRDefault="002126B7" w:rsidP="002126B7">
      <w:pPr>
        <w:pStyle w:val="BodyTextIndent"/>
        <w:ind w:firstLine="0"/>
        <w:jc w:val="both"/>
        <w:rPr>
          <w:rFonts w:cs="Arial"/>
          <w:sz w:val="22"/>
          <w:szCs w:val="22"/>
        </w:rPr>
      </w:pPr>
      <w:r>
        <w:rPr>
          <w:rFonts w:cs="Arial"/>
          <w:sz w:val="22"/>
          <w:szCs w:val="22"/>
        </w:rPr>
        <w:t xml:space="preserve">In addition to </w:t>
      </w:r>
      <w:r w:rsidR="008F1B8E">
        <w:rPr>
          <w:rFonts w:cs="Arial"/>
          <w:sz w:val="22"/>
          <w:szCs w:val="22"/>
        </w:rPr>
        <w:t>liabilities</w:t>
      </w:r>
      <w:r>
        <w:rPr>
          <w:rFonts w:cs="Arial"/>
          <w:sz w:val="22"/>
          <w:szCs w:val="22"/>
        </w:rPr>
        <w:t xml:space="preserve">, the statement of financial position will </w:t>
      </w:r>
      <w:r w:rsidR="00AC603F">
        <w:rPr>
          <w:rFonts w:cs="Arial"/>
          <w:sz w:val="22"/>
          <w:szCs w:val="22"/>
        </w:rPr>
        <w:t xml:space="preserve">sometimes </w:t>
      </w:r>
      <w:r>
        <w:rPr>
          <w:rFonts w:cs="Arial"/>
          <w:sz w:val="22"/>
          <w:szCs w:val="22"/>
        </w:rPr>
        <w:t>report a separate section for deferred inflows of resources. This separate financial statement element, deferred inflows of resources, represents an acquisition of net position that applies to</w:t>
      </w:r>
      <w:r w:rsidR="00AC603F">
        <w:rPr>
          <w:rFonts w:cs="Arial"/>
          <w:sz w:val="22"/>
          <w:szCs w:val="22"/>
        </w:rPr>
        <w:t xml:space="preserve"> future period</w:t>
      </w:r>
      <w:r>
        <w:rPr>
          <w:rFonts w:cs="Arial"/>
          <w:sz w:val="22"/>
          <w:szCs w:val="22"/>
        </w:rPr>
        <w:t>s</w:t>
      </w:r>
      <w:r w:rsidR="00AC603F">
        <w:rPr>
          <w:rFonts w:cs="Arial"/>
          <w:sz w:val="22"/>
          <w:szCs w:val="22"/>
        </w:rPr>
        <w:t xml:space="preserve"> and </w:t>
      </w:r>
      <w:r>
        <w:rPr>
          <w:rFonts w:cs="Arial"/>
          <w:sz w:val="22"/>
          <w:szCs w:val="22"/>
        </w:rPr>
        <w:t>will not be recognized as an inflow of resources (</w:t>
      </w:r>
      <w:r w:rsidR="008F1B8E">
        <w:rPr>
          <w:rFonts w:cs="Arial"/>
          <w:sz w:val="22"/>
          <w:szCs w:val="22"/>
        </w:rPr>
        <w:t>revenue</w:t>
      </w:r>
      <w:r>
        <w:rPr>
          <w:rFonts w:cs="Arial"/>
          <w:sz w:val="22"/>
          <w:szCs w:val="22"/>
        </w:rPr>
        <w:t xml:space="preserve">) until that time. The </w:t>
      </w:r>
      <w:r w:rsidR="00052D19">
        <w:rPr>
          <w:rFonts w:cs="Arial"/>
          <w:sz w:val="22"/>
          <w:szCs w:val="22"/>
        </w:rPr>
        <w:t>District</w:t>
      </w:r>
      <w:r>
        <w:rPr>
          <w:rFonts w:cs="Arial"/>
          <w:sz w:val="22"/>
          <w:szCs w:val="22"/>
        </w:rPr>
        <w:t xml:space="preserve"> has only one type of item that qualifies for reporting in this category, </w:t>
      </w:r>
      <w:r w:rsidR="008F1B8E">
        <w:rPr>
          <w:rFonts w:cs="Arial"/>
          <w:sz w:val="22"/>
          <w:szCs w:val="22"/>
        </w:rPr>
        <w:t xml:space="preserve">amounts </w:t>
      </w:r>
      <w:r w:rsidR="00B802FA">
        <w:rPr>
          <w:rFonts w:cs="Arial"/>
          <w:sz w:val="22"/>
          <w:szCs w:val="22"/>
        </w:rPr>
        <w:t>related to their pension obligations</w:t>
      </w:r>
      <w:r w:rsidR="008F1B8E">
        <w:rPr>
          <w:rFonts w:cs="Arial"/>
          <w:sz w:val="22"/>
          <w:szCs w:val="22"/>
        </w:rPr>
        <w:t xml:space="preserve">. </w:t>
      </w:r>
      <w:r w:rsidR="00B802FA">
        <w:rPr>
          <w:rFonts w:cs="Arial"/>
          <w:sz w:val="22"/>
          <w:szCs w:val="22"/>
        </w:rPr>
        <w:t>These deferred amounts represent differences between projected and actual earnings on pension plan investments and are recognized over a five-year period.</w:t>
      </w:r>
      <w:r w:rsidR="008F1B8E">
        <w:rPr>
          <w:rFonts w:cs="Arial"/>
          <w:sz w:val="22"/>
          <w:szCs w:val="22"/>
        </w:rPr>
        <w:t xml:space="preserve"> </w:t>
      </w:r>
    </w:p>
    <w:p w:rsidR="00B802FA" w:rsidRDefault="00B802FA" w:rsidP="009D3865">
      <w:pPr>
        <w:pStyle w:val="BodyTextIndent"/>
        <w:rPr>
          <w:rFonts w:cs="Arial"/>
          <w:sz w:val="22"/>
          <w:szCs w:val="22"/>
        </w:rPr>
        <w:sectPr w:rsidR="00B802FA">
          <w:pgSz w:w="12240" w:h="15840"/>
          <w:pgMar w:top="1440" w:right="1440" w:bottom="1440" w:left="1800" w:header="720" w:footer="720" w:gutter="0"/>
          <w:cols w:space="720"/>
        </w:sectPr>
      </w:pPr>
    </w:p>
    <w:p w:rsidR="009D3865" w:rsidRDefault="009D3865" w:rsidP="009D3865">
      <w:pPr>
        <w:pStyle w:val="BodyTextIndent"/>
        <w:rPr>
          <w:rFonts w:cs="Arial"/>
          <w:sz w:val="22"/>
          <w:szCs w:val="22"/>
        </w:rPr>
      </w:pPr>
    </w:p>
    <w:p w:rsidR="009D3865" w:rsidRDefault="009D3865" w:rsidP="009D3865">
      <w:pPr>
        <w:pStyle w:val="BodyTextIndent"/>
        <w:ind w:firstLine="0"/>
        <w:rPr>
          <w:rFonts w:cs="Arial"/>
          <w:sz w:val="22"/>
          <w:szCs w:val="22"/>
        </w:rPr>
      </w:pPr>
      <w:r>
        <w:rPr>
          <w:rFonts w:cs="Arial"/>
          <w:sz w:val="22"/>
          <w:szCs w:val="22"/>
          <w:u w:val="single"/>
        </w:rPr>
        <w:t>Classification</w:t>
      </w:r>
      <w:r w:rsidR="00B802FA">
        <w:rPr>
          <w:rFonts w:cs="Arial"/>
          <w:sz w:val="22"/>
          <w:szCs w:val="22"/>
          <w:u w:val="single"/>
        </w:rPr>
        <w:t>s</w:t>
      </w:r>
      <w:r>
        <w:rPr>
          <w:rFonts w:cs="Arial"/>
          <w:sz w:val="22"/>
          <w:szCs w:val="22"/>
          <w:u w:val="single"/>
        </w:rPr>
        <w:t xml:space="preserve"> of Fund Balances</w:t>
      </w:r>
    </w:p>
    <w:p w:rsidR="009D3865" w:rsidRDefault="009D3865" w:rsidP="009D3865">
      <w:pPr>
        <w:pStyle w:val="BodyTextIndent"/>
        <w:ind w:firstLine="0"/>
        <w:jc w:val="both"/>
        <w:rPr>
          <w:rFonts w:cs="Arial"/>
          <w:sz w:val="22"/>
          <w:szCs w:val="22"/>
        </w:rPr>
      </w:pPr>
      <w:r>
        <w:rPr>
          <w:rFonts w:cs="Arial"/>
          <w:sz w:val="22"/>
          <w:szCs w:val="22"/>
        </w:rPr>
        <w:t xml:space="preserve">Fund balance is divided into five classifications based primarily on the extent to which the </w:t>
      </w:r>
      <w:r w:rsidR="00052D19">
        <w:rPr>
          <w:rFonts w:cs="Arial"/>
          <w:sz w:val="22"/>
          <w:szCs w:val="22"/>
        </w:rPr>
        <w:t>District</w:t>
      </w:r>
      <w:r>
        <w:rPr>
          <w:rFonts w:cs="Arial"/>
          <w:sz w:val="22"/>
          <w:szCs w:val="22"/>
        </w:rPr>
        <w:t xml:space="preserve"> is bound to observe constraints imposed upon the use of the resources in the </w:t>
      </w:r>
      <w:r w:rsidR="00B802FA">
        <w:rPr>
          <w:rFonts w:cs="Arial"/>
          <w:sz w:val="22"/>
          <w:szCs w:val="22"/>
        </w:rPr>
        <w:t>General Fund</w:t>
      </w:r>
      <w:r>
        <w:rPr>
          <w:rFonts w:cs="Arial"/>
          <w:sz w:val="22"/>
          <w:szCs w:val="22"/>
        </w:rPr>
        <w:t>. The classifications are as follows:</w:t>
      </w:r>
    </w:p>
    <w:p w:rsidR="009D3865" w:rsidRDefault="009D3865" w:rsidP="009D3865">
      <w:pPr>
        <w:pStyle w:val="BodyTextIndent"/>
        <w:ind w:firstLine="0"/>
        <w:rPr>
          <w:rFonts w:cs="Arial"/>
          <w:sz w:val="22"/>
          <w:szCs w:val="22"/>
        </w:rPr>
      </w:pPr>
    </w:p>
    <w:p w:rsidR="00B57077" w:rsidRDefault="009D3865" w:rsidP="009D3865">
      <w:pPr>
        <w:pStyle w:val="BodyTextIndent"/>
        <w:ind w:left="720" w:firstLine="0"/>
        <w:jc w:val="both"/>
        <w:rPr>
          <w:rFonts w:cs="Arial"/>
          <w:sz w:val="22"/>
          <w:szCs w:val="22"/>
        </w:rPr>
      </w:pPr>
      <w:r>
        <w:rPr>
          <w:rFonts w:cs="Arial"/>
          <w:sz w:val="22"/>
          <w:szCs w:val="22"/>
        </w:rPr>
        <w:tab/>
      </w:r>
      <w:proofErr w:type="spellStart"/>
      <w:r>
        <w:rPr>
          <w:rFonts w:cs="Arial"/>
          <w:sz w:val="22"/>
          <w:szCs w:val="22"/>
          <w:u w:val="single"/>
        </w:rPr>
        <w:t>Nonspendable</w:t>
      </w:r>
      <w:proofErr w:type="spellEnd"/>
      <w:r>
        <w:rPr>
          <w:rFonts w:cs="Arial"/>
          <w:sz w:val="22"/>
          <w:szCs w:val="22"/>
        </w:rPr>
        <w:t xml:space="preserve"> – the </w:t>
      </w:r>
      <w:proofErr w:type="spellStart"/>
      <w:r>
        <w:rPr>
          <w:rFonts w:cs="Arial"/>
          <w:sz w:val="22"/>
          <w:szCs w:val="22"/>
        </w:rPr>
        <w:t>nonspendable</w:t>
      </w:r>
      <w:proofErr w:type="spellEnd"/>
      <w:r>
        <w:rPr>
          <w:rFonts w:cs="Arial"/>
          <w:sz w:val="22"/>
          <w:szCs w:val="22"/>
        </w:rPr>
        <w:t xml:space="preserve"> fund balance category includes amounts that cannot be spent because they are not in spendable form, or legally or contractually required to be maintained intact. The “not in spendable form” criterion includes items that are not expected to be converted to cash. </w:t>
      </w:r>
    </w:p>
    <w:p w:rsidR="00B57077" w:rsidRDefault="00B57077" w:rsidP="009D3865">
      <w:pPr>
        <w:pStyle w:val="BodyTextIndent"/>
        <w:ind w:left="720" w:firstLine="0"/>
        <w:jc w:val="both"/>
        <w:rPr>
          <w:rFonts w:cs="Arial"/>
          <w:sz w:val="22"/>
          <w:szCs w:val="22"/>
          <w:u w:val="single"/>
        </w:rPr>
      </w:pPr>
    </w:p>
    <w:p w:rsidR="009D3865" w:rsidRDefault="009D3865" w:rsidP="009D3865">
      <w:pPr>
        <w:pStyle w:val="BodyTextIndent"/>
        <w:ind w:left="720" w:firstLine="0"/>
        <w:jc w:val="both"/>
        <w:rPr>
          <w:rFonts w:cs="Arial"/>
          <w:sz w:val="22"/>
          <w:szCs w:val="22"/>
        </w:rPr>
      </w:pPr>
      <w:r>
        <w:rPr>
          <w:rFonts w:cs="Arial"/>
          <w:sz w:val="22"/>
          <w:szCs w:val="22"/>
          <w:u w:val="single"/>
        </w:rPr>
        <w:t>Restricted</w:t>
      </w:r>
      <w:r>
        <w:rPr>
          <w:rFonts w:cs="Arial"/>
          <w:sz w:val="22"/>
          <w:szCs w:val="22"/>
        </w:rPr>
        <w:t xml:space="preserve"> –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 or enabling legislation. </w:t>
      </w:r>
    </w:p>
    <w:p w:rsidR="009D3865" w:rsidRDefault="009D3865" w:rsidP="009D3865">
      <w:pPr>
        <w:pStyle w:val="BodyTextIndent"/>
        <w:rPr>
          <w:rFonts w:cs="Arial"/>
          <w:sz w:val="22"/>
          <w:szCs w:val="22"/>
        </w:rPr>
      </w:pPr>
    </w:p>
    <w:p w:rsidR="009D3865" w:rsidRDefault="009D3865" w:rsidP="009D3865">
      <w:pPr>
        <w:pStyle w:val="BodyTextIndent"/>
        <w:ind w:left="720" w:firstLine="0"/>
        <w:jc w:val="both"/>
        <w:rPr>
          <w:rFonts w:cs="Arial"/>
          <w:sz w:val="22"/>
          <w:szCs w:val="22"/>
        </w:rPr>
      </w:pPr>
      <w:r>
        <w:rPr>
          <w:rFonts w:cs="Arial"/>
          <w:sz w:val="22"/>
          <w:szCs w:val="22"/>
          <w:u w:val="single"/>
        </w:rPr>
        <w:t>Committed</w:t>
      </w:r>
      <w:r>
        <w:rPr>
          <w:rFonts w:cs="Arial"/>
          <w:sz w:val="22"/>
          <w:szCs w:val="22"/>
        </w:rPr>
        <w:t xml:space="preserve"> – the committed fund balance classification includes amounts that can be used only for the specific purposes imposed by formal action (resolution) of the </w:t>
      </w:r>
      <w:r w:rsidR="00052D19">
        <w:rPr>
          <w:rFonts w:cs="Arial"/>
          <w:sz w:val="22"/>
          <w:szCs w:val="22"/>
        </w:rPr>
        <w:t>District</w:t>
      </w:r>
      <w:r>
        <w:rPr>
          <w:rFonts w:cs="Arial"/>
          <w:sz w:val="22"/>
          <w:szCs w:val="22"/>
        </w:rPr>
        <w:t xml:space="preserve">. Those committed amounts cannot be used for any other purposes unless the </w:t>
      </w:r>
      <w:r w:rsidR="00052D19">
        <w:rPr>
          <w:rFonts w:cs="Arial"/>
          <w:sz w:val="22"/>
          <w:szCs w:val="22"/>
        </w:rPr>
        <w:t>District</w:t>
      </w:r>
      <w:r>
        <w:rPr>
          <w:rFonts w:cs="Arial"/>
          <w:sz w:val="22"/>
          <w:szCs w:val="22"/>
        </w:rPr>
        <w:t xml:space="preserve"> removes or changes the specified use by taking the same type of action (resolution) it employed to previously commit those amounts. </w:t>
      </w:r>
    </w:p>
    <w:p w:rsidR="009D3865" w:rsidRDefault="009D3865" w:rsidP="009D3865">
      <w:pPr>
        <w:pStyle w:val="BodyTextIndent"/>
        <w:rPr>
          <w:rFonts w:cs="Arial"/>
          <w:sz w:val="22"/>
          <w:szCs w:val="22"/>
        </w:rPr>
      </w:pPr>
    </w:p>
    <w:p w:rsidR="008F1B8E" w:rsidRDefault="009D3865" w:rsidP="009D3865">
      <w:pPr>
        <w:pStyle w:val="BodyTextIndent"/>
        <w:ind w:left="720" w:firstLine="0"/>
        <w:jc w:val="both"/>
        <w:rPr>
          <w:rFonts w:cs="Arial"/>
          <w:sz w:val="22"/>
          <w:szCs w:val="22"/>
        </w:rPr>
      </w:pPr>
      <w:r>
        <w:rPr>
          <w:rFonts w:cs="Arial"/>
          <w:sz w:val="22"/>
          <w:szCs w:val="22"/>
          <w:u w:val="single"/>
        </w:rPr>
        <w:t>Assigned</w:t>
      </w:r>
      <w:r>
        <w:rPr>
          <w:rFonts w:cs="Arial"/>
          <w:sz w:val="22"/>
          <w:szCs w:val="22"/>
        </w:rPr>
        <w:t xml:space="preserve"> – amounts in the assigned fund balance classification the </w:t>
      </w:r>
      <w:r w:rsidR="00052D19">
        <w:rPr>
          <w:rFonts w:cs="Arial"/>
          <w:sz w:val="22"/>
          <w:szCs w:val="22"/>
        </w:rPr>
        <w:t>District</w:t>
      </w:r>
      <w:r>
        <w:rPr>
          <w:rFonts w:cs="Arial"/>
          <w:sz w:val="22"/>
          <w:szCs w:val="22"/>
        </w:rPr>
        <w:t xml:space="preserve"> intends to use for specific purposes that do not meet the criteria to be classified as restricted or committed. In the General Fund, assigned amounts represent intended uses established by the </w:t>
      </w:r>
      <w:r w:rsidR="00052D19">
        <w:rPr>
          <w:rFonts w:cs="Arial"/>
          <w:sz w:val="22"/>
          <w:szCs w:val="22"/>
        </w:rPr>
        <w:t>District</w:t>
      </w:r>
      <w:r>
        <w:rPr>
          <w:rFonts w:cs="Arial"/>
          <w:sz w:val="22"/>
          <w:szCs w:val="22"/>
        </w:rPr>
        <w:t xml:space="preserve"> or the </w:t>
      </w:r>
      <w:r w:rsidR="00052D19">
        <w:rPr>
          <w:rFonts w:cs="Arial"/>
          <w:sz w:val="22"/>
          <w:szCs w:val="22"/>
        </w:rPr>
        <w:t>District</w:t>
      </w:r>
      <w:r>
        <w:rPr>
          <w:rFonts w:cs="Arial"/>
          <w:sz w:val="22"/>
          <w:szCs w:val="22"/>
        </w:rPr>
        <w:t xml:space="preserve"> Administrator who has been delegated that authority by </w:t>
      </w:r>
      <w:r w:rsidR="00052D19">
        <w:rPr>
          <w:rFonts w:cs="Arial"/>
          <w:sz w:val="22"/>
          <w:szCs w:val="22"/>
        </w:rPr>
        <w:t>District</w:t>
      </w:r>
      <w:r>
        <w:rPr>
          <w:rFonts w:cs="Arial"/>
          <w:sz w:val="22"/>
          <w:szCs w:val="22"/>
        </w:rPr>
        <w:t xml:space="preserve"> resolution. </w:t>
      </w:r>
    </w:p>
    <w:p w:rsidR="008F1B8E" w:rsidRDefault="008F1B8E" w:rsidP="009D3865">
      <w:pPr>
        <w:pStyle w:val="BodyTextIndent"/>
        <w:ind w:left="720" w:firstLine="0"/>
        <w:jc w:val="both"/>
        <w:rPr>
          <w:rFonts w:cs="Arial"/>
          <w:sz w:val="22"/>
          <w:szCs w:val="22"/>
          <w:u w:val="single"/>
        </w:rPr>
      </w:pPr>
    </w:p>
    <w:p w:rsidR="009D3865" w:rsidRDefault="009D3865" w:rsidP="009D3865">
      <w:pPr>
        <w:pStyle w:val="BodyTextIndent"/>
        <w:ind w:left="720" w:firstLine="0"/>
        <w:jc w:val="both"/>
        <w:rPr>
          <w:rFonts w:cs="Arial"/>
          <w:sz w:val="22"/>
          <w:szCs w:val="22"/>
        </w:rPr>
      </w:pPr>
      <w:r>
        <w:rPr>
          <w:rFonts w:cs="Arial"/>
          <w:sz w:val="22"/>
          <w:szCs w:val="22"/>
          <w:u w:val="single"/>
        </w:rPr>
        <w:t>Unassigned</w:t>
      </w:r>
      <w:r>
        <w:rPr>
          <w:rFonts w:cs="Arial"/>
          <w:sz w:val="22"/>
          <w:szCs w:val="22"/>
        </w:rPr>
        <w:t xml:space="preserve"> – Unassigned fund balance is the residual classification for the general fund and includes all spendable amounts not contained in the other fund balance classifications. </w:t>
      </w:r>
    </w:p>
    <w:p w:rsidR="009D3865" w:rsidRDefault="009D3865" w:rsidP="009D3865">
      <w:pPr>
        <w:pStyle w:val="BodyTextIndent"/>
        <w:rPr>
          <w:rFonts w:cs="Arial"/>
          <w:sz w:val="22"/>
          <w:szCs w:val="22"/>
        </w:rPr>
      </w:pPr>
    </w:p>
    <w:p w:rsidR="009D3865" w:rsidRDefault="009D3865" w:rsidP="009D3865">
      <w:pPr>
        <w:pStyle w:val="BodyTextIndent"/>
        <w:ind w:firstLine="0"/>
        <w:jc w:val="both"/>
        <w:rPr>
          <w:rFonts w:cs="Arial"/>
          <w:sz w:val="22"/>
          <w:szCs w:val="22"/>
        </w:rPr>
      </w:pPr>
      <w:r>
        <w:rPr>
          <w:rFonts w:cs="Arial"/>
          <w:sz w:val="22"/>
          <w:szCs w:val="22"/>
        </w:rPr>
        <w:t xml:space="preserve">The </w:t>
      </w:r>
      <w:r w:rsidR="00052D19">
        <w:rPr>
          <w:rFonts w:cs="Arial"/>
          <w:sz w:val="22"/>
          <w:szCs w:val="22"/>
        </w:rPr>
        <w:t>District</w:t>
      </w:r>
      <w:r>
        <w:rPr>
          <w:rFonts w:cs="Arial"/>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 </w:t>
      </w:r>
    </w:p>
    <w:p w:rsidR="009D3865" w:rsidRDefault="009D3865" w:rsidP="009D3865">
      <w:pPr>
        <w:spacing w:line="240" w:lineRule="atLeast"/>
        <w:rPr>
          <w:rFonts w:ascii="Arial" w:hAnsi="Arial" w:cs="Arial"/>
          <w:sz w:val="22"/>
          <w:szCs w:val="22"/>
          <w:u w:val="single"/>
        </w:rPr>
      </w:pPr>
    </w:p>
    <w:p w:rsidR="009D3865" w:rsidRDefault="009D3865" w:rsidP="009D3865">
      <w:pPr>
        <w:spacing w:line="240" w:lineRule="atLeast"/>
        <w:rPr>
          <w:rFonts w:ascii="Arial" w:hAnsi="Arial" w:cs="Arial"/>
          <w:sz w:val="22"/>
          <w:szCs w:val="22"/>
          <w:u w:val="single"/>
        </w:rPr>
      </w:pPr>
      <w:r>
        <w:rPr>
          <w:rFonts w:ascii="Arial" w:hAnsi="Arial" w:cs="Arial"/>
          <w:sz w:val="22"/>
          <w:szCs w:val="22"/>
          <w:u w:val="single"/>
        </w:rPr>
        <w:t>Explanation of Adjustments Column in Statements</w:t>
      </w:r>
    </w:p>
    <w:p w:rsidR="009D3865" w:rsidRDefault="009D3865" w:rsidP="009D3865">
      <w:pPr>
        <w:spacing w:line="240" w:lineRule="atLeast"/>
        <w:rPr>
          <w:rFonts w:ascii="Arial" w:hAnsi="Arial" w:cs="Arial"/>
          <w:sz w:val="22"/>
          <w:szCs w:val="22"/>
          <w:u w:val="single"/>
        </w:rPr>
      </w:pPr>
    </w:p>
    <w:p w:rsidR="009D3865" w:rsidRDefault="009D3865" w:rsidP="009D3865">
      <w:pPr>
        <w:pStyle w:val="BodyTextIndent"/>
        <w:ind w:left="720" w:firstLine="0"/>
        <w:jc w:val="both"/>
        <w:rPr>
          <w:rFonts w:cs="Arial"/>
          <w:sz w:val="22"/>
          <w:szCs w:val="22"/>
        </w:rPr>
      </w:pPr>
      <w:r>
        <w:rPr>
          <w:rFonts w:cs="Arial"/>
          <w:sz w:val="22"/>
          <w:szCs w:val="22"/>
          <w:u w:val="single"/>
        </w:rPr>
        <w:t>Capital Assets</w:t>
      </w:r>
      <w:r>
        <w:rPr>
          <w:rFonts w:cs="Arial"/>
          <w:sz w:val="22"/>
          <w:szCs w:val="22"/>
        </w:rPr>
        <w:t xml:space="preserve">: In the Statement of Net Position and Governmental Fund Balance Sheet, an adjustment is made if the </w:t>
      </w:r>
      <w:r w:rsidR="00052D19">
        <w:rPr>
          <w:rFonts w:cs="Arial"/>
          <w:sz w:val="22"/>
          <w:szCs w:val="22"/>
        </w:rPr>
        <w:t>District</w:t>
      </w:r>
      <w:r>
        <w:rPr>
          <w:rFonts w:cs="Arial"/>
          <w:sz w:val="22"/>
          <w:szCs w:val="22"/>
        </w:rPr>
        <w:t xml:space="preserve"> has capital assets.  This adjustment equals the net book balance of capitalized assets as of the report date, and reconciles to the amount reported in the Capital Assets Note. </w:t>
      </w:r>
    </w:p>
    <w:p w:rsidR="009D3865" w:rsidRDefault="009D3865" w:rsidP="009D3865">
      <w:pPr>
        <w:spacing w:line="240" w:lineRule="atLeast"/>
        <w:ind w:left="720"/>
        <w:rPr>
          <w:rFonts w:ascii="Arial" w:hAnsi="Arial" w:cs="Arial"/>
          <w:sz w:val="22"/>
          <w:szCs w:val="22"/>
        </w:rPr>
      </w:pPr>
    </w:p>
    <w:p w:rsidR="009D3865" w:rsidRDefault="009D3865" w:rsidP="009D3865">
      <w:pPr>
        <w:spacing w:line="240" w:lineRule="atLeast"/>
        <w:ind w:left="720"/>
        <w:jc w:val="both"/>
        <w:rPr>
          <w:rFonts w:ascii="Arial" w:hAnsi="Arial" w:cs="Arial"/>
          <w:sz w:val="22"/>
          <w:szCs w:val="22"/>
        </w:rPr>
      </w:pPr>
      <w:r>
        <w:rPr>
          <w:rFonts w:ascii="Arial" w:hAnsi="Arial" w:cs="Arial"/>
          <w:sz w:val="22"/>
          <w:szCs w:val="22"/>
          <w:u w:val="single"/>
        </w:rPr>
        <w:t>Long-Term Liabilities</w:t>
      </w:r>
      <w:r>
        <w:rPr>
          <w:rFonts w:ascii="Arial" w:hAnsi="Arial" w:cs="Arial"/>
          <w:sz w:val="22"/>
          <w:szCs w:val="22"/>
        </w:rPr>
        <w:t>: In the Statement of Net Position and Governmental Fund Balance Sheet, an adjustment is made to reflect the total Compensated Absence</w:t>
      </w:r>
      <w:r w:rsidR="00B8417B">
        <w:rPr>
          <w:rFonts w:ascii="Arial" w:hAnsi="Arial" w:cs="Arial"/>
          <w:sz w:val="22"/>
          <w:szCs w:val="22"/>
        </w:rPr>
        <w:t>s and Net Pension</w:t>
      </w:r>
      <w:r>
        <w:rPr>
          <w:rFonts w:ascii="Arial" w:hAnsi="Arial" w:cs="Arial"/>
          <w:sz w:val="22"/>
          <w:szCs w:val="22"/>
        </w:rPr>
        <w:t xml:space="preserve"> Liability the </w:t>
      </w:r>
      <w:r w:rsidR="00052D19">
        <w:rPr>
          <w:rFonts w:ascii="Arial" w:hAnsi="Arial" w:cs="Arial"/>
          <w:sz w:val="22"/>
          <w:szCs w:val="22"/>
        </w:rPr>
        <w:t>District</w:t>
      </w:r>
      <w:r>
        <w:rPr>
          <w:rFonts w:ascii="Arial" w:hAnsi="Arial" w:cs="Arial"/>
          <w:sz w:val="22"/>
          <w:szCs w:val="22"/>
        </w:rPr>
        <w:t xml:space="preserve"> has as of the report date.  See note on Long-Term Liabilities.</w:t>
      </w:r>
    </w:p>
    <w:p w:rsidR="00B57077" w:rsidRDefault="00B57077" w:rsidP="009D3865">
      <w:pPr>
        <w:spacing w:line="240" w:lineRule="atLeast"/>
        <w:ind w:left="720"/>
        <w:rPr>
          <w:rFonts w:ascii="Arial" w:hAnsi="Arial" w:cs="Arial"/>
          <w:sz w:val="22"/>
          <w:szCs w:val="22"/>
        </w:rPr>
        <w:sectPr w:rsidR="00B57077">
          <w:pgSz w:w="12240" w:h="15840"/>
          <w:pgMar w:top="1440" w:right="1440" w:bottom="1440" w:left="1800" w:header="720" w:footer="720" w:gutter="0"/>
          <w:cols w:space="720"/>
        </w:sectPr>
      </w:pPr>
    </w:p>
    <w:p w:rsidR="009D3865" w:rsidRDefault="009D3865" w:rsidP="009D3865">
      <w:pPr>
        <w:spacing w:line="240" w:lineRule="atLeast"/>
        <w:ind w:left="720"/>
        <w:rPr>
          <w:rFonts w:ascii="Arial" w:hAnsi="Arial" w:cs="Arial"/>
          <w:sz w:val="22"/>
          <w:szCs w:val="22"/>
        </w:rPr>
      </w:pPr>
    </w:p>
    <w:p w:rsidR="00B57077" w:rsidRDefault="009D3865" w:rsidP="00B57077">
      <w:pPr>
        <w:spacing w:line="240" w:lineRule="atLeast"/>
        <w:ind w:left="720"/>
        <w:jc w:val="both"/>
        <w:rPr>
          <w:rFonts w:ascii="Arial" w:hAnsi="Arial" w:cs="Arial"/>
          <w:sz w:val="22"/>
          <w:szCs w:val="22"/>
        </w:rPr>
      </w:pPr>
      <w:r>
        <w:rPr>
          <w:rFonts w:ascii="Arial" w:hAnsi="Arial" w:cs="Arial"/>
          <w:sz w:val="22"/>
          <w:szCs w:val="22"/>
          <w:u w:val="single"/>
        </w:rPr>
        <w:t>Depreciation</w:t>
      </w:r>
      <w:r w:rsidR="00B8417B">
        <w:rPr>
          <w:rFonts w:ascii="Arial" w:hAnsi="Arial" w:cs="Arial"/>
          <w:sz w:val="22"/>
          <w:szCs w:val="22"/>
          <w:u w:val="single"/>
        </w:rPr>
        <w:t>, Net Pension Expense</w:t>
      </w:r>
      <w:r>
        <w:rPr>
          <w:rFonts w:ascii="Arial" w:hAnsi="Arial" w:cs="Arial"/>
          <w:sz w:val="22"/>
          <w:szCs w:val="22"/>
          <w:u w:val="single"/>
        </w:rPr>
        <w:t xml:space="preserve"> and Change in Compensated Absences for the year</w:t>
      </w:r>
      <w:r>
        <w:rPr>
          <w:rFonts w:ascii="Arial" w:hAnsi="Arial" w:cs="Arial"/>
          <w:sz w:val="22"/>
          <w:szCs w:val="22"/>
        </w:rPr>
        <w:t>: In the Statement of Activities and Governmental Fund Revenues, Expenditures and Changes in Fund Balance, the adjustment equals the total depreciation for the year reported, plus or minus the</w:t>
      </w:r>
      <w:r w:rsidR="00B8417B">
        <w:rPr>
          <w:rFonts w:ascii="Arial" w:hAnsi="Arial" w:cs="Arial"/>
          <w:sz w:val="22"/>
          <w:szCs w:val="22"/>
        </w:rPr>
        <w:t xml:space="preserve"> net pension expense and the</w:t>
      </w:r>
      <w:r>
        <w:rPr>
          <w:rFonts w:ascii="Arial" w:hAnsi="Arial" w:cs="Arial"/>
          <w:sz w:val="22"/>
          <w:szCs w:val="22"/>
        </w:rPr>
        <w:t xml:space="preserve"> change in Compensated Absences between the reporting year and the previous year.  This number is supported by figures in the note on Long-Term Liabilities. </w:t>
      </w:r>
      <w:bookmarkEnd w:id="0"/>
    </w:p>
    <w:p w:rsidR="00B57077" w:rsidRDefault="00B57077" w:rsidP="00B57077">
      <w:pPr>
        <w:spacing w:line="240" w:lineRule="atLeast"/>
        <w:ind w:left="720"/>
        <w:jc w:val="both"/>
        <w:rPr>
          <w:rFonts w:ascii="Arial" w:hAnsi="Arial" w:cs="Arial"/>
          <w:sz w:val="22"/>
          <w:szCs w:val="22"/>
          <w:u w:val="single"/>
        </w:rPr>
      </w:pPr>
    </w:p>
    <w:p w:rsidR="004B79DA" w:rsidRDefault="004B79DA" w:rsidP="004B79DA">
      <w:pPr>
        <w:spacing w:line="240" w:lineRule="atLeast"/>
        <w:rPr>
          <w:rFonts w:ascii="Arial" w:hAnsi="Arial" w:cs="Arial"/>
          <w:sz w:val="22"/>
          <w:szCs w:val="22"/>
          <w:u w:val="single"/>
        </w:rPr>
      </w:pPr>
      <w:r>
        <w:rPr>
          <w:rFonts w:ascii="Arial" w:hAnsi="Arial" w:cs="Arial"/>
          <w:sz w:val="22"/>
          <w:szCs w:val="22"/>
          <w:u w:val="single"/>
        </w:rPr>
        <w:t>Vacation and Sick Leave</w:t>
      </w:r>
    </w:p>
    <w:p w:rsidR="004B79DA" w:rsidRDefault="004B79DA" w:rsidP="004B79DA">
      <w:pPr>
        <w:spacing w:line="240" w:lineRule="atLeast"/>
        <w:jc w:val="both"/>
        <w:rPr>
          <w:rFonts w:ascii="Arial" w:hAnsi="Arial" w:cs="Arial"/>
          <w:sz w:val="22"/>
          <w:szCs w:val="22"/>
        </w:rPr>
      </w:pPr>
      <w:r>
        <w:rPr>
          <w:rFonts w:ascii="Arial" w:hAnsi="Arial" w:cs="Arial"/>
          <w:sz w:val="22"/>
          <w:szCs w:val="22"/>
        </w:rPr>
        <w:t xml:space="preserve">Under the </w:t>
      </w:r>
      <w:r w:rsidR="00052D19">
        <w:rPr>
          <w:rFonts w:ascii="Arial" w:hAnsi="Arial" w:cs="Arial"/>
          <w:sz w:val="22"/>
          <w:szCs w:val="22"/>
        </w:rPr>
        <w:t>District</w:t>
      </w:r>
      <w:r>
        <w:rPr>
          <w:rFonts w:ascii="Arial" w:hAnsi="Arial" w:cs="Arial"/>
          <w:sz w:val="22"/>
          <w:szCs w:val="22"/>
        </w:rPr>
        <w:t>'s personnel policies, employees are granted vacation leave in varying amounts based on their length of service.  Vacati</w:t>
      </w:r>
      <w:r w:rsidR="00B2647D">
        <w:rPr>
          <w:rFonts w:ascii="Arial" w:hAnsi="Arial" w:cs="Arial"/>
          <w:sz w:val="22"/>
          <w:szCs w:val="22"/>
        </w:rPr>
        <w:t>on leave accrual varies from ???</w:t>
      </w:r>
      <w:r>
        <w:rPr>
          <w:rFonts w:ascii="Arial" w:hAnsi="Arial" w:cs="Arial"/>
          <w:sz w:val="22"/>
          <w:szCs w:val="22"/>
        </w:rPr>
        <w:t xml:space="preserve"> to </w:t>
      </w:r>
      <w:r w:rsidR="00B2647D">
        <w:rPr>
          <w:rFonts w:ascii="Arial" w:hAnsi="Arial" w:cs="Arial"/>
          <w:sz w:val="22"/>
          <w:szCs w:val="22"/>
        </w:rPr>
        <w:t>???</w:t>
      </w:r>
      <w:r>
        <w:rPr>
          <w:rFonts w:ascii="Arial" w:hAnsi="Arial" w:cs="Arial"/>
          <w:sz w:val="22"/>
          <w:szCs w:val="22"/>
        </w:rPr>
        <w:t xml:space="preserve"> hours per </w:t>
      </w:r>
      <w:r w:rsidR="00937162">
        <w:rPr>
          <w:rFonts w:ascii="Arial" w:hAnsi="Arial" w:cs="Arial"/>
          <w:sz w:val="22"/>
          <w:szCs w:val="22"/>
        </w:rPr>
        <w:t>month. Sick leave accrual is ???</w:t>
      </w:r>
      <w:r>
        <w:rPr>
          <w:rFonts w:ascii="Arial" w:hAnsi="Arial" w:cs="Arial"/>
          <w:sz w:val="22"/>
          <w:szCs w:val="22"/>
        </w:rPr>
        <w:t xml:space="preserve"> hours per month. The limit on the accumulation of vacation</w:t>
      </w:r>
      <w:r w:rsidR="00B2647D">
        <w:rPr>
          <w:rFonts w:ascii="Arial" w:hAnsi="Arial" w:cs="Arial"/>
          <w:sz w:val="22"/>
          <w:szCs w:val="22"/>
        </w:rPr>
        <w:t xml:space="preserve"> leave is ???</w:t>
      </w:r>
      <w:r>
        <w:rPr>
          <w:rFonts w:ascii="Arial" w:hAnsi="Arial" w:cs="Arial"/>
          <w:sz w:val="22"/>
          <w:szCs w:val="22"/>
        </w:rPr>
        <w:t xml:space="preserve"> hours and the limit on the </w:t>
      </w:r>
      <w:r w:rsidR="00B2647D">
        <w:rPr>
          <w:rFonts w:ascii="Arial" w:hAnsi="Arial" w:cs="Arial"/>
          <w:sz w:val="22"/>
          <w:szCs w:val="22"/>
        </w:rPr>
        <w:t>accumulation of sick leave is ???</w:t>
      </w:r>
      <w:r>
        <w:rPr>
          <w:rFonts w:ascii="Arial" w:hAnsi="Arial" w:cs="Arial"/>
          <w:sz w:val="22"/>
          <w:szCs w:val="22"/>
        </w:rPr>
        <w:t xml:space="preserve"> hours. Upon termination of employment from the </w:t>
      </w:r>
      <w:r w:rsidR="00052D19">
        <w:rPr>
          <w:rFonts w:ascii="Arial" w:hAnsi="Arial" w:cs="Arial"/>
          <w:sz w:val="22"/>
          <w:szCs w:val="22"/>
        </w:rPr>
        <w:t>District</w:t>
      </w:r>
      <w:r>
        <w:rPr>
          <w:rFonts w:ascii="Arial" w:hAnsi="Arial" w:cs="Arial"/>
          <w:sz w:val="22"/>
          <w:szCs w:val="22"/>
        </w:rPr>
        <w:t xml:space="preserve">, employees are paid accrued vacation leave and sick leave hours. </w:t>
      </w:r>
    </w:p>
    <w:p w:rsidR="004B79DA" w:rsidRDefault="004B79DA" w:rsidP="009D3865">
      <w:pPr>
        <w:spacing w:line="240" w:lineRule="atLeast"/>
        <w:rPr>
          <w:rFonts w:ascii="Arial" w:hAnsi="Arial" w:cs="Arial"/>
          <w:sz w:val="22"/>
          <w:szCs w:val="22"/>
          <w:u w:val="single"/>
        </w:rPr>
      </w:pPr>
    </w:p>
    <w:p w:rsidR="009D3865" w:rsidRDefault="009D3865" w:rsidP="009D3865">
      <w:pPr>
        <w:spacing w:line="240" w:lineRule="atLeast"/>
        <w:rPr>
          <w:rFonts w:ascii="Arial" w:hAnsi="Arial" w:cs="Arial"/>
          <w:sz w:val="22"/>
          <w:szCs w:val="22"/>
        </w:rPr>
      </w:pPr>
      <w:r>
        <w:rPr>
          <w:rFonts w:ascii="Arial" w:hAnsi="Arial" w:cs="Arial"/>
          <w:sz w:val="22"/>
          <w:szCs w:val="22"/>
          <w:u w:val="single"/>
        </w:rPr>
        <w:t>Risk Management</w:t>
      </w: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The </w:t>
      </w:r>
      <w:r w:rsidR="00052D19">
        <w:rPr>
          <w:rFonts w:ascii="Arial" w:hAnsi="Arial" w:cs="Arial"/>
          <w:sz w:val="22"/>
          <w:szCs w:val="22"/>
        </w:rPr>
        <w:t>District</w:t>
      </w:r>
      <w:r>
        <w:rPr>
          <w:rFonts w:ascii="Arial" w:hAnsi="Arial" w:cs="Arial"/>
          <w:sz w:val="22"/>
          <w:szCs w:val="22"/>
        </w:rPr>
        <w:t xml:space="preserve"> is exposed to various risks of loss related to tort; theft of, damage to, and destruction of assets; errors and omissions; injuries to employees; workers’ compensation claims; and natural disasters.  Property and casualty liabilities and workers’ compensation are insured through Minnesota Counties Intergovernmental Trust.  The </w:t>
      </w:r>
      <w:r w:rsidR="00052D19">
        <w:rPr>
          <w:rFonts w:ascii="Arial" w:hAnsi="Arial" w:cs="Arial"/>
          <w:sz w:val="22"/>
          <w:szCs w:val="22"/>
        </w:rPr>
        <w:t>District</w:t>
      </w:r>
      <w:r>
        <w:rPr>
          <w:rFonts w:ascii="Arial" w:hAnsi="Arial" w:cs="Arial"/>
          <w:sz w:val="22"/>
          <w:szCs w:val="22"/>
        </w:rPr>
        <w:t xml:space="preserve"> retains risk for the deductible portion of the insurance.  The amounts of these deductibles are considered immaterial to the financial statements.   </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The Minnesota Counties Intergovernmental Trust is a public entity risk pool currently operated as a common risk management and insurance program for its members.  The </w:t>
      </w:r>
      <w:r w:rsidR="00052D19">
        <w:rPr>
          <w:rFonts w:ascii="Arial" w:hAnsi="Arial" w:cs="Arial"/>
          <w:sz w:val="22"/>
          <w:szCs w:val="22"/>
        </w:rPr>
        <w:t>District</w:t>
      </w:r>
      <w:r>
        <w:rPr>
          <w:rFonts w:ascii="Arial" w:hAnsi="Arial" w:cs="Arial"/>
          <w:sz w:val="22"/>
          <w:szCs w:val="22"/>
        </w:rPr>
        <w:t xml:space="preserve"> pays an annual premium based on its annual payroll.  There were no significant increases or reductions in insurance from the previous year or settlements in excess of insurance coverage for any of the past three fiscal years.  </w:t>
      </w:r>
    </w:p>
    <w:p w:rsidR="009D3865" w:rsidRDefault="009D3865" w:rsidP="009D3865">
      <w:pPr>
        <w:spacing w:line="240" w:lineRule="atLeast"/>
        <w:rPr>
          <w:rFonts w:ascii="Arial" w:hAnsi="Arial" w:cs="Arial"/>
          <w:b/>
          <w:sz w:val="22"/>
          <w:szCs w:val="22"/>
          <w:u w:val="single"/>
        </w:rPr>
      </w:pPr>
      <w:r>
        <w:rPr>
          <w:rFonts w:ascii="Arial" w:hAnsi="Arial" w:cs="Arial"/>
          <w:sz w:val="22"/>
          <w:szCs w:val="22"/>
        </w:rPr>
        <w:t xml:space="preserve"> </w:t>
      </w:r>
    </w:p>
    <w:p w:rsidR="009D3865" w:rsidRDefault="009D3865" w:rsidP="009D3865">
      <w:pPr>
        <w:spacing w:line="240" w:lineRule="atLeast"/>
        <w:rPr>
          <w:rFonts w:ascii="Arial" w:hAnsi="Arial" w:cs="Arial"/>
          <w:sz w:val="22"/>
          <w:szCs w:val="22"/>
        </w:rPr>
      </w:pPr>
      <w:r>
        <w:rPr>
          <w:rFonts w:ascii="Arial" w:hAnsi="Arial" w:cs="Arial"/>
          <w:b/>
          <w:sz w:val="22"/>
          <w:szCs w:val="22"/>
          <w:u w:val="single"/>
        </w:rPr>
        <w:t>Note 2 - Detailed Notes</w:t>
      </w:r>
    </w:p>
    <w:p w:rsidR="009D3865" w:rsidRDefault="009D3865" w:rsidP="009D3865">
      <w:pPr>
        <w:spacing w:line="240" w:lineRule="atLeast"/>
        <w:rPr>
          <w:rFonts w:ascii="Arial" w:hAnsi="Arial" w:cs="Arial"/>
          <w:sz w:val="22"/>
          <w:szCs w:val="22"/>
        </w:rPr>
      </w:pPr>
    </w:p>
    <w:p w:rsidR="009D3865" w:rsidRDefault="009D3865" w:rsidP="009D3865">
      <w:pPr>
        <w:spacing w:line="240" w:lineRule="atLeast"/>
        <w:rPr>
          <w:rFonts w:ascii="Arial" w:hAnsi="Arial" w:cs="Arial"/>
          <w:sz w:val="22"/>
          <w:szCs w:val="22"/>
        </w:rPr>
      </w:pPr>
      <w:r>
        <w:rPr>
          <w:rFonts w:ascii="Arial" w:hAnsi="Arial" w:cs="Arial"/>
          <w:sz w:val="22"/>
          <w:szCs w:val="22"/>
          <w:u w:val="single"/>
        </w:rPr>
        <w:t>Capital Assets</w:t>
      </w:r>
      <w:r>
        <w:rPr>
          <w:rFonts w:ascii="Arial" w:hAnsi="Arial" w:cs="Arial"/>
          <w:sz w:val="22"/>
          <w:szCs w:val="22"/>
        </w:rPr>
        <w:t xml:space="preserve"> </w:t>
      </w:r>
    </w:p>
    <w:p w:rsidR="009D3865" w:rsidRDefault="009D3865" w:rsidP="009D3865">
      <w:pPr>
        <w:pStyle w:val="Footer"/>
        <w:tabs>
          <w:tab w:val="left" w:pos="720"/>
        </w:tabs>
        <w:spacing w:line="240" w:lineRule="atLeast"/>
        <w:rPr>
          <w:rFonts w:ascii="Arial" w:hAnsi="Arial" w:cs="Arial"/>
          <w:sz w:val="22"/>
          <w:szCs w:val="22"/>
        </w:rPr>
      </w:pPr>
      <w:r>
        <w:rPr>
          <w:rFonts w:ascii="Arial" w:hAnsi="Arial" w:cs="Arial"/>
          <w:sz w:val="22"/>
          <w:szCs w:val="22"/>
        </w:rPr>
        <w:t>Changes in Capital Assets, Asset Capitalization and Depreciation.</w:t>
      </w:r>
    </w:p>
    <w:p w:rsidR="009D3865" w:rsidRDefault="009D3865" w:rsidP="009D3865">
      <w:pPr>
        <w:pStyle w:val="Footer"/>
        <w:tabs>
          <w:tab w:val="left" w:pos="720"/>
        </w:tabs>
        <w:spacing w:line="240" w:lineRule="atLeast"/>
        <w:rPr>
          <w:rFonts w:ascii="Arial" w:hAnsi="Arial" w:cs="Arial"/>
          <w:sz w:val="22"/>
          <w:szCs w:val="22"/>
        </w:rPr>
      </w:pPr>
    </w:p>
    <w:p w:rsidR="009D3865" w:rsidRDefault="009D3865" w:rsidP="009D3865">
      <w:pPr>
        <w:tabs>
          <w:tab w:val="left" w:pos="720"/>
          <w:tab w:val="right" w:pos="4320"/>
          <w:tab w:val="right" w:pos="5760"/>
          <w:tab w:val="right" w:pos="7200"/>
          <w:tab w:val="right" w:pos="8640"/>
        </w:tabs>
        <w:spacing w:line="240" w:lineRule="atLeast"/>
        <w:ind w:left="361" w:hanging="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Beginning</w:t>
      </w:r>
      <w:r>
        <w:rPr>
          <w:rFonts w:ascii="Arial" w:hAnsi="Arial" w:cs="Arial"/>
          <w:sz w:val="22"/>
          <w:szCs w:val="22"/>
        </w:rPr>
        <w:tab/>
      </w:r>
      <w:r>
        <w:rPr>
          <w:rFonts w:ascii="Arial" w:hAnsi="Arial" w:cs="Arial"/>
          <w:sz w:val="22"/>
          <w:szCs w:val="22"/>
          <w:u w:val="single"/>
        </w:rPr>
        <w:t>Addition</w:t>
      </w:r>
      <w:r>
        <w:rPr>
          <w:rFonts w:ascii="Arial" w:hAnsi="Arial" w:cs="Arial"/>
          <w:sz w:val="22"/>
          <w:szCs w:val="22"/>
        </w:rPr>
        <w:tab/>
      </w:r>
      <w:r>
        <w:rPr>
          <w:rFonts w:ascii="Arial" w:hAnsi="Arial" w:cs="Arial"/>
          <w:sz w:val="22"/>
          <w:szCs w:val="22"/>
          <w:u w:val="single"/>
        </w:rPr>
        <w:t>Deletion</w:t>
      </w:r>
      <w:r>
        <w:rPr>
          <w:rFonts w:ascii="Arial" w:hAnsi="Arial" w:cs="Arial"/>
          <w:sz w:val="22"/>
          <w:szCs w:val="22"/>
        </w:rPr>
        <w:tab/>
      </w:r>
      <w:r>
        <w:rPr>
          <w:rFonts w:ascii="Arial" w:hAnsi="Arial" w:cs="Arial"/>
          <w:sz w:val="22"/>
          <w:szCs w:val="22"/>
          <w:u w:val="single"/>
        </w:rPr>
        <w:t>Ending</w:t>
      </w:r>
      <w:r>
        <w:rPr>
          <w:rFonts w:ascii="Arial" w:hAnsi="Arial" w:cs="Arial"/>
          <w:sz w:val="22"/>
          <w:szCs w:val="22"/>
        </w:rPr>
        <w:tab/>
      </w:r>
    </w:p>
    <w:p w:rsidR="009D3865" w:rsidRDefault="00B2647D" w:rsidP="009D3865">
      <w:pPr>
        <w:tabs>
          <w:tab w:val="left" w:pos="720"/>
          <w:tab w:val="right" w:pos="4320"/>
          <w:tab w:val="right" w:pos="5760"/>
          <w:tab w:val="right" w:pos="7200"/>
          <w:tab w:val="right" w:pos="8640"/>
        </w:tabs>
        <w:spacing w:line="240" w:lineRule="atLeast"/>
        <w:rPr>
          <w:rFonts w:ascii="Arial" w:hAnsi="Arial" w:cs="Arial"/>
          <w:sz w:val="22"/>
          <w:szCs w:val="22"/>
        </w:rPr>
      </w:pPr>
      <w:r>
        <w:rPr>
          <w:rFonts w:ascii="Arial" w:hAnsi="Arial" w:cs="Arial"/>
          <w:sz w:val="22"/>
          <w:szCs w:val="22"/>
        </w:rPr>
        <w:t xml:space="preserve">Equipment  </w:t>
      </w:r>
      <w:r>
        <w:rPr>
          <w:rFonts w:ascii="Arial" w:hAnsi="Arial" w:cs="Arial"/>
          <w:sz w:val="22"/>
          <w:szCs w:val="22"/>
        </w:rPr>
        <w:tab/>
        <w:t>$0</w:t>
      </w:r>
      <w:r>
        <w:rPr>
          <w:rFonts w:ascii="Arial" w:hAnsi="Arial" w:cs="Arial"/>
          <w:sz w:val="22"/>
          <w:szCs w:val="22"/>
        </w:rPr>
        <w:tab/>
        <w:t>$0</w:t>
      </w:r>
      <w:r>
        <w:rPr>
          <w:rFonts w:ascii="Arial" w:hAnsi="Arial" w:cs="Arial"/>
          <w:sz w:val="22"/>
          <w:szCs w:val="22"/>
        </w:rPr>
        <w:tab/>
        <w:t>$0</w:t>
      </w:r>
      <w:r>
        <w:rPr>
          <w:rFonts w:ascii="Arial" w:hAnsi="Arial" w:cs="Arial"/>
          <w:sz w:val="22"/>
          <w:szCs w:val="22"/>
        </w:rPr>
        <w:tab/>
        <w:t>$0</w:t>
      </w:r>
    </w:p>
    <w:p w:rsidR="009D3865" w:rsidRDefault="009D3865" w:rsidP="009D3865">
      <w:pPr>
        <w:tabs>
          <w:tab w:val="left" w:pos="720"/>
          <w:tab w:val="right" w:pos="4320"/>
          <w:tab w:val="right" w:pos="5760"/>
          <w:tab w:val="right" w:pos="7200"/>
          <w:tab w:val="right" w:pos="8640"/>
        </w:tabs>
        <w:spacing w:line="240" w:lineRule="atLeast"/>
        <w:rPr>
          <w:rFonts w:ascii="Arial" w:hAnsi="Arial" w:cs="Arial"/>
          <w:sz w:val="22"/>
          <w:szCs w:val="22"/>
        </w:rPr>
      </w:pPr>
      <w:r>
        <w:rPr>
          <w:rFonts w:ascii="Arial" w:hAnsi="Arial" w:cs="Arial"/>
          <w:sz w:val="22"/>
          <w:szCs w:val="22"/>
        </w:rPr>
        <w:t>Less:  Accumulated Depreciation</w:t>
      </w:r>
      <w:r>
        <w:rPr>
          <w:rFonts w:ascii="Arial" w:hAnsi="Arial" w:cs="Arial"/>
          <w:sz w:val="22"/>
          <w:szCs w:val="22"/>
        </w:rPr>
        <w:tab/>
        <w:t xml:space="preserve">   </w:t>
      </w:r>
      <w:r w:rsidR="00B2647D">
        <w:rPr>
          <w:rFonts w:ascii="Arial" w:hAnsi="Arial" w:cs="Arial"/>
          <w:sz w:val="22"/>
          <w:szCs w:val="22"/>
          <w:u w:val="single"/>
        </w:rPr>
        <w:t>0</w:t>
      </w:r>
      <w:r w:rsidR="00B2647D">
        <w:rPr>
          <w:rFonts w:ascii="Arial" w:hAnsi="Arial" w:cs="Arial"/>
          <w:sz w:val="22"/>
          <w:szCs w:val="22"/>
        </w:rPr>
        <w:tab/>
        <w:t xml:space="preserve">  0</w:t>
      </w:r>
      <w:r w:rsidR="00B2647D">
        <w:rPr>
          <w:rFonts w:ascii="Arial" w:hAnsi="Arial" w:cs="Arial"/>
          <w:sz w:val="22"/>
          <w:szCs w:val="22"/>
        </w:rPr>
        <w:tab/>
        <w:t>0</w:t>
      </w:r>
      <w:r>
        <w:rPr>
          <w:rFonts w:ascii="Arial" w:hAnsi="Arial" w:cs="Arial"/>
          <w:sz w:val="22"/>
          <w:szCs w:val="22"/>
        </w:rPr>
        <w:tab/>
      </w:r>
      <w:r w:rsidR="00B2647D">
        <w:rPr>
          <w:rFonts w:ascii="Arial" w:hAnsi="Arial" w:cs="Arial"/>
          <w:sz w:val="22"/>
          <w:szCs w:val="22"/>
          <w:u w:val="single"/>
        </w:rPr>
        <w:t>0</w:t>
      </w:r>
    </w:p>
    <w:p w:rsidR="009D3865" w:rsidRDefault="009D3865" w:rsidP="009D3865">
      <w:pPr>
        <w:tabs>
          <w:tab w:val="left" w:pos="720"/>
          <w:tab w:val="right" w:pos="4320"/>
          <w:tab w:val="right" w:pos="5760"/>
          <w:tab w:val="right" w:pos="7200"/>
          <w:tab w:val="right" w:pos="8640"/>
        </w:tabs>
        <w:spacing w:line="240" w:lineRule="atLeast"/>
        <w:rPr>
          <w:rFonts w:ascii="Arial" w:hAnsi="Arial" w:cs="Arial"/>
          <w:sz w:val="22"/>
          <w:szCs w:val="22"/>
        </w:rPr>
      </w:pPr>
      <w:r>
        <w:rPr>
          <w:rFonts w:ascii="Arial" w:hAnsi="Arial" w:cs="Arial"/>
          <w:sz w:val="22"/>
          <w:szCs w:val="22"/>
        </w:rPr>
        <w:t>Net Capital Assets</w:t>
      </w:r>
      <w:r>
        <w:rPr>
          <w:rFonts w:ascii="Arial" w:hAnsi="Arial" w:cs="Arial"/>
          <w:sz w:val="22"/>
          <w:szCs w:val="22"/>
        </w:rPr>
        <w:tab/>
      </w:r>
      <w:r w:rsidR="00B2647D">
        <w:rPr>
          <w:rFonts w:ascii="Arial" w:hAnsi="Arial" w:cs="Arial"/>
          <w:sz w:val="22"/>
          <w:szCs w:val="22"/>
          <w:u w:val="double"/>
        </w:rPr>
        <w:t>$0</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B2647D">
        <w:rPr>
          <w:rFonts w:ascii="Arial" w:hAnsi="Arial" w:cs="Arial"/>
          <w:sz w:val="22"/>
          <w:szCs w:val="22"/>
          <w:u w:val="double"/>
        </w:rPr>
        <w:t>$0</w:t>
      </w:r>
    </w:p>
    <w:p w:rsidR="00B57077" w:rsidRDefault="00B57077" w:rsidP="009D3865">
      <w:pPr>
        <w:pStyle w:val="Footer"/>
        <w:tabs>
          <w:tab w:val="clear" w:pos="4320"/>
          <w:tab w:val="right" w:pos="5760"/>
        </w:tabs>
        <w:spacing w:line="240" w:lineRule="atLeast"/>
        <w:rPr>
          <w:rFonts w:ascii="Arial" w:hAnsi="Arial" w:cs="Arial"/>
          <w:sz w:val="22"/>
          <w:szCs w:val="22"/>
        </w:rPr>
      </w:pPr>
    </w:p>
    <w:p w:rsidR="00B8417B" w:rsidRDefault="00B8417B" w:rsidP="00B8417B">
      <w:pPr>
        <w:tabs>
          <w:tab w:val="right" w:pos="5760"/>
        </w:tabs>
        <w:spacing w:line="240" w:lineRule="atLeast"/>
        <w:jc w:val="both"/>
        <w:rPr>
          <w:rFonts w:ascii="Arial" w:hAnsi="Arial" w:cs="Arial"/>
          <w:sz w:val="22"/>
          <w:szCs w:val="22"/>
        </w:rPr>
      </w:pPr>
      <w:r>
        <w:rPr>
          <w:rFonts w:ascii="Arial" w:hAnsi="Arial" w:cs="Arial"/>
          <w:sz w:val="22"/>
          <w:szCs w:val="22"/>
        </w:rPr>
        <w:t xml:space="preserve">The cost of property, plant and equipment is depreciated over the estimated useful lives of the related assets.  Leasehold improvements are depreciated over the lesser of the term of the related lease or the estimated useful lives of the assets.  Depreciation is computed on the straight-line method.  The useful lives of property, plant and equipment for the purpose of computing depreciation is 5 to 10 years for Machinery and Equipment.  Current year depreciation is $???. </w:t>
      </w:r>
    </w:p>
    <w:p w:rsidR="00B8417B" w:rsidRDefault="00B8417B" w:rsidP="00B8417B">
      <w:pPr>
        <w:tabs>
          <w:tab w:val="right" w:pos="5760"/>
        </w:tabs>
        <w:spacing w:line="240" w:lineRule="atLeast"/>
        <w:rPr>
          <w:rFonts w:ascii="Arial" w:hAnsi="Arial" w:cs="Arial"/>
          <w:sz w:val="22"/>
          <w:szCs w:val="22"/>
        </w:rPr>
      </w:pPr>
    </w:p>
    <w:p w:rsidR="00B8417B" w:rsidRDefault="00B8417B" w:rsidP="00B8417B">
      <w:pPr>
        <w:tabs>
          <w:tab w:val="right" w:pos="5760"/>
        </w:tabs>
        <w:spacing w:line="240" w:lineRule="atLeast"/>
        <w:jc w:val="both"/>
        <w:rPr>
          <w:rFonts w:ascii="Arial" w:hAnsi="Arial" w:cs="Arial"/>
          <w:sz w:val="22"/>
          <w:szCs w:val="22"/>
        </w:rPr>
      </w:pPr>
      <w:r>
        <w:rPr>
          <w:rFonts w:ascii="Arial" w:hAnsi="Arial" w:cs="Arial"/>
          <w:sz w:val="22"/>
          <w:szCs w:val="22"/>
        </w:rPr>
        <w:t>The District uses the threshold of $??? for capitalizing assets purchased.</w:t>
      </w:r>
    </w:p>
    <w:p w:rsidR="00B8417B" w:rsidRDefault="00B8417B" w:rsidP="009D3865">
      <w:pPr>
        <w:pStyle w:val="Footer"/>
        <w:tabs>
          <w:tab w:val="clear" w:pos="4320"/>
          <w:tab w:val="right" w:pos="5760"/>
        </w:tabs>
        <w:spacing w:line="240" w:lineRule="atLeast"/>
        <w:rPr>
          <w:rFonts w:ascii="Arial" w:hAnsi="Arial" w:cs="Arial"/>
          <w:sz w:val="22"/>
          <w:szCs w:val="22"/>
        </w:rPr>
      </w:pPr>
    </w:p>
    <w:p w:rsidR="00B8417B" w:rsidRDefault="00B8417B" w:rsidP="009D3865">
      <w:pPr>
        <w:pStyle w:val="Footer"/>
        <w:tabs>
          <w:tab w:val="clear" w:pos="4320"/>
          <w:tab w:val="right" w:pos="5760"/>
        </w:tabs>
        <w:spacing w:line="240" w:lineRule="atLeast"/>
        <w:rPr>
          <w:rFonts w:ascii="Arial" w:hAnsi="Arial" w:cs="Arial"/>
          <w:sz w:val="22"/>
          <w:szCs w:val="22"/>
        </w:rPr>
        <w:sectPr w:rsidR="00B8417B">
          <w:pgSz w:w="12240" w:h="15840"/>
          <w:pgMar w:top="1440" w:right="1440" w:bottom="1440" w:left="1800" w:header="720" w:footer="720" w:gutter="0"/>
          <w:cols w:space="720"/>
        </w:sectPr>
      </w:pPr>
    </w:p>
    <w:p w:rsidR="009D3865" w:rsidRDefault="009D3865" w:rsidP="009D3865">
      <w:pPr>
        <w:pStyle w:val="Footer"/>
        <w:tabs>
          <w:tab w:val="clear" w:pos="4320"/>
          <w:tab w:val="right" w:pos="5760"/>
        </w:tabs>
        <w:spacing w:line="240" w:lineRule="atLeast"/>
        <w:rPr>
          <w:rFonts w:ascii="Arial" w:hAnsi="Arial" w:cs="Arial"/>
          <w:sz w:val="22"/>
          <w:szCs w:val="22"/>
        </w:rPr>
      </w:pPr>
    </w:p>
    <w:p w:rsidR="009D3865" w:rsidRDefault="009D3865" w:rsidP="00B57077">
      <w:pPr>
        <w:tabs>
          <w:tab w:val="right" w:pos="5760"/>
        </w:tabs>
        <w:spacing w:line="240" w:lineRule="atLeast"/>
        <w:jc w:val="both"/>
        <w:rPr>
          <w:rFonts w:ascii="Arial" w:hAnsi="Arial" w:cs="Arial"/>
          <w:sz w:val="22"/>
          <w:szCs w:val="22"/>
        </w:rPr>
      </w:pPr>
      <w:r>
        <w:rPr>
          <w:rFonts w:ascii="Arial" w:hAnsi="Arial" w:cs="Arial"/>
          <w:sz w:val="22"/>
          <w:szCs w:val="22"/>
          <w:u w:val="single"/>
        </w:rPr>
        <w:t>Unearned Revenue</w:t>
      </w: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Unearned revenue represents unearned advances from the Minnesota </w:t>
      </w:r>
      <w:r w:rsidR="00942495">
        <w:rPr>
          <w:rFonts w:ascii="Arial" w:hAnsi="Arial" w:cs="Arial"/>
          <w:sz w:val="22"/>
          <w:szCs w:val="22"/>
        </w:rPr>
        <w:t>Board</w:t>
      </w:r>
      <w:r>
        <w:rPr>
          <w:rFonts w:ascii="Arial" w:hAnsi="Arial" w:cs="Arial"/>
          <w:sz w:val="22"/>
          <w:szCs w:val="22"/>
        </w:rPr>
        <w:t xml:space="preserve"> of Water and Soil Resources (BWSR) for administrative service grants and for the cost-share program.  Revenues will be recognized when the related program expenditures are recorded.  </w:t>
      </w:r>
      <w:r w:rsidR="004B79DA">
        <w:rPr>
          <w:rFonts w:ascii="Arial" w:hAnsi="Arial" w:cs="Arial"/>
          <w:sz w:val="22"/>
          <w:szCs w:val="22"/>
        </w:rPr>
        <w:t>Unearned</w:t>
      </w:r>
      <w:r>
        <w:rPr>
          <w:rFonts w:ascii="Arial" w:hAnsi="Arial" w:cs="Arial"/>
          <w:sz w:val="22"/>
          <w:szCs w:val="22"/>
        </w:rPr>
        <w:t xml:space="preserve"> revenue for the year ended </w:t>
      </w:r>
      <w:r w:rsidR="00FB29C8">
        <w:rPr>
          <w:rFonts w:ascii="Arial" w:hAnsi="Arial" w:cs="Arial"/>
          <w:sz w:val="22"/>
          <w:szCs w:val="22"/>
        </w:rPr>
        <w:t>December 31</w:t>
      </w:r>
      <w:r w:rsidR="00B8417B">
        <w:rPr>
          <w:rFonts w:ascii="Arial" w:hAnsi="Arial" w:cs="Arial"/>
          <w:sz w:val="22"/>
          <w:szCs w:val="22"/>
        </w:rPr>
        <w:t xml:space="preserve">, </w:t>
      </w:r>
      <w:r w:rsidR="00B05FAB">
        <w:rPr>
          <w:rFonts w:ascii="Arial" w:hAnsi="Arial" w:cs="Arial"/>
          <w:sz w:val="22"/>
          <w:szCs w:val="22"/>
        </w:rPr>
        <w:t>2018</w:t>
      </w:r>
      <w:r>
        <w:rPr>
          <w:rFonts w:ascii="Arial" w:hAnsi="Arial" w:cs="Arial"/>
          <w:sz w:val="22"/>
          <w:szCs w:val="22"/>
        </w:rPr>
        <w:t>, consists of the following: B</w:t>
      </w:r>
      <w:r w:rsidR="00B2647D">
        <w:rPr>
          <w:rFonts w:ascii="Arial" w:hAnsi="Arial" w:cs="Arial"/>
          <w:sz w:val="22"/>
          <w:szCs w:val="22"/>
        </w:rPr>
        <w:t>WSR Cost Share Programs, $</w:t>
      </w:r>
      <w:proofErr w:type="gramStart"/>
      <w:r w:rsidR="00B2647D">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w:t>
      </w:r>
      <w:r w:rsidR="00B2647D">
        <w:rPr>
          <w:rFonts w:ascii="Arial" w:hAnsi="Arial" w:cs="Arial"/>
          <w:sz w:val="22"/>
          <w:szCs w:val="22"/>
        </w:rPr>
        <w:t>Clean Water Funds, $???; BWSR Feedlot, $???</w:t>
      </w:r>
      <w:r>
        <w:rPr>
          <w:rFonts w:ascii="Arial" w:hAnsi="Arial" w:cs="Arial"/>
          <w:sz w:val="22"/>
          <w:szCs w:val="22"/>
        </w:rPr>
        <w:t>; Total, $</w:t>
      </w:r>
      <w:r w:rsidR="00B2647D">
        <w:rPr>
          <w:rFonts w:ascii="Arial" w:hAnsi="Arial" w:cs="Arial"/>
          <w:sz w:val="22"/>
          <w:szCs w:val="22"/>
        </w:rPr>
        <w:t>???</w:t>
      </w:r>
      <w:r>
        <w:rPr>
          <w:rFonts w:ascii="Arial" w:hAnsi="Arial" w:cs="Arial"/>
          <w:sz w:val="22"/>
          <w:szCs w:val="22"/>
        </w:rPr>
        <w:t>.</w:t>
      </w:r>
    </w:p>
    <w:p w:rsidR="009D3865" w:rsidRDefault="009D3865" w:rsidP="009D3865">
      <w:pPr>
        <w:spacing w:line="240" w:lineRule="atLeast"/>
        <w:rPr>
          <w:rFonts w:ascii="Arial" w:hAnsi="Arial" w:cs="Arial"/>
          <w:sz w:val="22"/>
          <w:szCs w:val="22"/>
          <w:u w:val="single"/>
        </w:rPr>
      </w:pPr>
    </w:p>
    <w:p w:rsidR="009D3865" w:rsidRDefault="009D3865" w:rsidP="009D3865">
      <w:pPr>
        <w:spacing w:line="240" w:lineRule="atLeast"/>
        <w:rPr>
          <w:rFonts w:ascii="Arial" w:hAnsi="Arial" w:cs="Arial"/>
          <w:sz w:val="22"/>
          <w:szCs w:val="22"/>
        </w:rPr>
      </w:pPr>
      <w:r>
        <w:rPr>
          <w:rFonts w:ascii="Arial" w:hAnsi="Arial" w:cs="Arial"/>
          <w:sz w:val="22"/>
          <w:szCs w:val="22"/>
          <w:u w:val="single"/>
        </w:rPr>
        <w:t>Long-Term Liabilities - Compensated Absences Payable</w:t>
      </w: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Changes in long-term liabilities for the period ended </w:t>
      </w:r>
      <w:r w:rsidR="00FE53DF">
        <w:rPr>
          <w:rFonts w:ascii="Arial" w:hAnsi="Arial" w:cs="Arial"/>
          <w:sz w:val="22"/>
          <w:szCs w:val="22"/>
        </w:rPr>
        <w:t>December 31</w:t>
      </w:r>
      <w:r w:rsidR="00B8417B">
        <w:rPr>
          <w:rFonts w:ascii="Arial" w:hAnsi="Arial" w:cs="Arial"/>
          <w:sz w:val="22"/>
          <w:szCs w:val="22"/>
        </w:rPr>
        <w:t xml:space="preserve">, </w:t>
      </w:r>
      <w:r w:rsidR="00B05FAB">
        <w:rPr>
          <w:rFonts w:ascii="Arial" w:hAnsi="Arial" w:cs="Arial"/>
          <w:sz w:val="22"/>
          <w:szCs w:val="22"/>
        </w:rPr>
        <w:t>2018</w:t>
      </w:r>
      <w:r>
        <w:rPr>
          <w:rFonts w:ascii="Arial" w:hAnsi="Arial" w:cs="Arial"/>
          <w:sz w:val="22"/>
          <w:szCs w:val="22"/>
        </w:rPr>
        <w:t xml:space="preserve"> are:</w:t>
      </w:r>
    </w:p>
    <w:p w:rsidR="009D3865" w:rsidRDefault="009D3865" w:rsidP="009D3865">
      <w:pPr>
        <w:spacing w:line="240" w:lineRule="atLeast"/>
        <w:rPr>
          <w:rFonts w:ascii="Arial" w:hAnsi="Arial" w:cs="Arial"/>
          <w:sz w:val="22"/>
          <w:szCs w:val="22"/>
        </w:rPr>
      </w:pPr>
    </w:p>
    <w:p w:rsidR="009D3865" w:rsidRDefault="00B26DC3" w:rsidP="006F1116">
      <w:pPr>
        <w:tabs>
          <w:tab w:val="right" w:pos="6120"/>
        </w:tabs>
        <w:spacing w:line="240" w:lineRule="atLeast"/>
        <w:ind w:left="1440"/>
        <w:rPr>
          <w:rFonts w:ascii="Arial" w:hAnsi="Arial" w:cs="Arial"/>
          <w:sz w:val="22"/>
          <w:szCs w:val="22"/>
        </w:rPr>
      </w:pPr>
      <w:r>
        <w:rPr>
          <w:rFonts w:ascii="Arial" w:hAnsi="Arial" w:cs="Arial"/>
          <w:sz w:val="22"/>
          <w:szCs w:val="22"/>
        </w:rPr>
        <w:t xml:space="preserve">Balance </w:t>
      </w:r>
      <w:r w:rsidR="00B8417B">
        <w:rPr>
          <w:rFonts w:ascii="Arial" w:hAnsi="Arial" w:cs="Arial"/>
          <w:sz w:val="22"/>
          <w:szCs w:val="22"/>
        </w:rPr>
        <w:t xml:space="preserve">January 1, </w:t>
      </w:r>
      <w:r w:rsidR="00B05FAB">
        <w:rPr>
          <w:rFonts w:ascii="Arial" w:hAnsi="Arial" w:cs="Arial"/>
          <w:sz w:val="22"/>
          <w:szCs w:val="22"/>
        </w:rPr>
        <w:t>2018</w:t>
      </w:r>
      <w:r w:rsidR="009D3865">
        <w:rPr>
          <w:rFonts w:ascii="Arial" w:hAnsi="Arial" w:cs="Arial"/>
          <w:sz w:val="22"/>
          <w:szCs w:val="22"/>
        </w:rPr>
        <w:t xml:space="preserve">               </w:t>
      </w:r>
      <w:r w:rsidR="009D3865">
        <w:rPr>
          <w:rFonts w:ascii="Arial" w:hAnsi="Arial" w:cs="Arial"/>
          <w:sz w:val="22"/>
          <w:szCs w:val="22"/>
        </w:rPr>
        <w:tab/>
      </w:r>
      <w:r w:rsidR="009D3865">
        <w:rPr>
          <w:rFonts w:ascii="Arial" w:hAnsi="Arial" w:cs="Arial"/>
          <w:sz w:val="22"/>
          <w:szCs w:val="22"/>
        </w:rPr>
        <w:tab/>
      </w:r>
      <w:r w:rsidR="00B2647D">
        <w:rPr>
          <w:rFonts w:ascii="Arial" w:hAnsi="Arial" w:cs="Arial"/>
          <w:sz w:val="22"/>
          <w:szCs w:val="22"/>
        </w:rPr>
        <w:t>$</w:t>
      </w:r>
    </w:p>
    <w:p w:rsidR="009D3865" w:rsidRDefault="009D3865" w:rsidP="006F1116">
      <w:pPr>
        <w:tabs>
          <w:tab w:val="right" w:pos="6120"/>
        </w:tabs>
        <w:spacing w:line="240" w:lineRule="atLeast"/>
        <w:ind w:left="1440"/>
        <w:rPr>
          <w:rFonts w:ascii="Arial" w:hAnsi="Arial" w:cs="Arial"/>
          <w:sz w:val="22"/>
          <w:szCs w:val="22"/>
          <w:u w:val="single"/>
        </w:rPr>
      </w:pPr>
      <w:r>
        <w:rPr>
          <w:rFonts w:ascii="Arial" w:hAnsi="Arial" w:cs="Arial"/>
          <w:sz w:val="22"/>
          <w:szCs w:val="22"/>
        </w:rPr>
        <w:t xml:space="preserve">Net Change in Compensated Absences                  </w:t>
      </w:r>
      <w:r w:rsidR="006F1116">
        <w:rPr>
          <w:rFonts w:ascii="Arial" w:hAnsi="Arial" w:cs="Arial"/>
          <w:sz w:val="22"/>
          <w:szCs w:val="22"/>
        </w:rPr>
        <w:t xml:space="preserve"> </w:t>
      </w:r>
      <w:r w:rsidR="00B2647D">
        <w:rPr>
          <w:rFonts w:ascii="Arial" w:hAnsi="Arial" w:cs="Arial"/>
          <w:sz w:val="22"/>
          <w:szCs w:val="22"/>
          <w:u w:val="single"/>
        </w:rPr>
        <w:t>0</w:t>
      </w:r>
    </w:p>
    <w:p w:rsidR="009D3865" w:rsidRDefault="009D3865" w:rsidP="006F1116">
      <w:pPr>
        <w:tabs>
          <w:tab w:val="right" w:pos="6120"/>
        </w:tabs>
        <w:spacing w:line="240" w:lineRule="atLeast"/>
        <w:ind w:left="1440"/>
        <w:rPr>
          <w:rFonts w:ascii="Arial" w:hAnsi="Arial" w:cs="Arial"/>
          <w:sz w:val="22"/>
          <w:szCs w:val="22"/>
          <w:u w:val="double"/>
        </w:rPr>
      </w:pPr>
      <w:r>
        <w:rPr>
          <w:rFonts w:ascii="Arial" w:hAnsi="Arial" w:cs="Arial"/>
          <w:sz w:val="22"/>
          <w:szCs w:val="22"/>
        </w:rPr>
        <w:t xml:space="preserve">Balance </w:t>
      </w:r>
      <w:r w:rsidR="00FB29C8">
        <w:rPr>
          <w:rFonts w:ascii="Arial" w:hAnsi="Arial" w:cs="Arial"/>
          <w:sz w:val="22"/>
          <w:szCs w:val="22"/>
        </w:rPr>
        <w:t>December 31</w:t>
      </w:r>
      <w:r w:rsidR="00B8417B">
        <w:rPr>
          <w:rFonts w:ascii="Arial" w:hAnsi="Arial" w:cs="Arial"/>
          <w:sz w:val="22"/>
          <w:szCs w:val="22"/>
        </w:rPr>
        <w:t xml:space="preserve">, </w:t>
      </w:r>
      <w:r w:rsidR="00B05FAB">
        <w:rPr>
          <w:rFonts w:ascii="Arial" w:hAnsi="Arial" w:cs="Arial"/>
          <w:sz w:val="22"/>
          <w:szCs w:val="22"/>
        </w:rPr>
        <w:t>2018</w:t>
      </w:r>
      <w:r w:rsidR="00B26DC3">
        <w:rPr>
          <w:rFonts w:ascii="Arial" w:hAnsi="Arial" w:cs="Arial"/>
          <w:sz w:val="22"/>
          <w:szCs w:val="22"/>
        </w:rPr>
        <w:t xml:space="preserve">                                    </w:t>
      </w:r>
      <w:r>
        <w:rPr>
          <w:rFonts w:ascii="Arial" w:hAnsi="Arial" w:cs="Arial"/>
          <w:sz w:val="22"/>
          <w:szCs w:val="22"/>
        </w:rPr>
        <w:t xml:space="preserve"> </w:t>
      </w:r>
      <w:r w:rsidR="00B2647D">
        <w:rPr>
          <w:rFonts w:ascii="Arial" w:hAnsi="Arial" w:cs="Arial"/>
          <w:sz w:val="22"/>
          <w:szCs w:val="22"/>
          <w:u w:val="double"/>
        </w:rPr>
        <w:t>$</w:t>
      </w:r>
    </w:p>
    <w:p w:rsidR="008F1B8E" w:rsidRDefault="008F1B8E" w:rsidP="009D3865">
      <w:pPr>
        <w:tabs>
          <w:tab w:val="right" w:pos="6120"/>
        </w:tabs>
        <w:spacing w:line="240" w:lineRule="atLeast"/>
        <w:rPr>
          <w:rFonts w:ascii="Arial" w:hAnsi="Arial" w:cs="Arial"/>
          <w:sz w:val="22"/>
          <w:szCs w:val="22"/>
          <w:u w:val="single"/>
        </w:rPr>
      </w:pPr>
    </w:p>
    <w:p w:rsidR="009D3865" w:rsidRDefault="009D3865" w:rsidP="009D3865">
      <w:pPr>
        <w:tabs>
          <w:tab w:val="right" w:pos="6120"/>
        </w:tabs>
        <w:spacing w:line="240" w:lineRule="atLeast"/>
        <w:rPr>
          <w:rFonts w:ascii="Arial" w:hAnsi="Arial" w:cs="Arial"/>
          <w:sz w:val="22"/>
          <w:szCs w:val="22"/>
          <w:u w:val="single"/>
        </w:rPr>
      </w:pPr>
      <w:r>
        <w:rPr>
          <w:rFonts w:ascii="Arial" w:hAnsi="Arial" w:cs="Arial"/>
          <w:sz w:val="22"/>
          <w:szCs w:val="22"/>
          <w:u w:val="single"/>
        </w:rPr>
        <w:t>Deposits</w:t>
      </w:r>
    </w:p>
    <w:p w:rsidR="009D3865" w:rsidRDefault="009D3865" w:rsidP="009D3865">
      <w:pPr>
        <w:pStyle w:val="Footer"/>
        <w:tabs>
          <w:tab w:val="left" w:pos="720"/>
        </w:tabs>
        <w:spacing w:line="240" w:lineRule="atLeast"/>
        <w:jc w:val="both"/>
        <w:rPr>
          <w:rFonts w:ascii="Arial" w:hAnsi="Arial" w:cs="Arial"/>
          <w:sz w:val="22"/>
          <w:szCs w:val="22"/>
        </w:rPr>
      </w:pPr>
      <w:r>
        <w:rPr>
          <w:rFonts w:ascii="Arial" w:hAnsi="Arial" w:cs="Arial"/>
          <w:sz w:val="22"/>
          <w:szCs w:val="22"/>
        </w:rPr>
        <w:t xml:space="preserve">Minnesota Statutes 118A.02 and 118A.04 authorize the </w:t>
      </w:r>
      <w:r w:rsidR="00052D19">
        <w:rPr>
          <w:rFonts w:ascii="Arial" w:hAnsi="Arial" w:cs="Arial"/>
          <w:sz w:val="22"/>
          <w:szCs w:val="22"/>
        </w:rPr>
        <w:t>District</w:t>
      </w:r>
      <w:r>
        <w:rPr>
          <w:rFonts w:ascii="Arial" w:hAnsi="Arial" w:cs="Arial"/>
          <w:sz w:val="22"/>
          <w:szCs w:val="22"/>
        </w:rPr>
        <w:t xml:space="preserve"> to designate a depository for public funds and to invest in certificates of deposit. Minnesota Statutes 118A.03 requires that all </w:t>
      </w:r>
      <w:r w:rsidR="00052D19">
        <w:rPr>
          <w:rFonts w:ascii="Arial" w:hAnsi="Arial" w:cs="Arial"/>
          <w:sz w:val="22"/>
          <w:szCs w:val="22"/>
        </w:rPr>
        <w:t>District</w:t>
      </w:r>
      <w:r>
        <w:rPr>
          <w:rFonts w:ascii="Arial" w:hAnsi="Arial" w:cs="Arial"/>
          <w:sz w:val="22"/>
          <w:szCs w:val="22"/>
        </w:rPr>
        <w:t xml:space="preserve"> deposits be protected by insurance, surety bond, or collateral. The market value of collateral pledged shall be at least ten percent more than the amount on deposit plus accrued interest at the close of the financial institution’s banking day, not covered by insurance or bonds. </w:t>
      </w:r>
    </w:p>
    <w:p w:rsidR="009D3865" w:rsidRDefault="009D3865" w:rsidP="009D3865">
      <w:pPr>
        <w:pStyle w:val="Footer"/>
        <w:tabs>
          <w:tab w:val="left" w:pos="720"/>
        </w:tabs>
        <w:spacing w:line="240" w:lineRule="atLeast"/>
        <w:rPr>
          <w:rFonts w:ascii="Arial" w:hAnsi="Arial" w:cs="Arial"/>
          <w:sz w:val="22"/>
          <w:szCs w:val="22"/>
        </w:rPr>
      </w:pPr>
    </w:p>
    <w:p w:rsidR="009D3865" w:rsidRDefault="009D3865" w:rsidP="009D3865">
      <w:pPr>
        <w:pStyle w:val="Footer"/>
        <w:tabs>
          <w:tab w:val="left" w:pos="720"/>
        </w:tabs>
        <w:spacing w:line="240" w:lineRule="atLeast"/>
        <w:jc w:val="both"/>
        <w:rPr>
          <w:rFonts w:ascii="Arial" w:hAnsi="Arial" w:cs="Arial"/>
          <w:sz w:val="22"/>
          <w:szCs w:val="22"/>
        </w:rPr>
      </w:pPr>
      <w:r>
        <w:rPr>
          <w:rFonts w:ascii="Arial" w:hAnsi="Arial" w:cs="Arial"/>
          <w:sz w:val="22"/>
          <w:szCs w:val="22"/>
        </w:rPr>
        <w:t xml:space="preserve">Authorized collateral includes treasury bills, notes and bonds; issues of U.S. government agencies; general obligations rated “A” or better; revenue obligations rated “AA” or better; irrevocable standard letters of credit issued by the Federal Home Loan Bank; and certificates of deposit. Minnesota Statutes require that securities pledged as collateral be held in safekeeping in a restricted account at the Federal Reserve Bank or in an account at a trust department of a commercial bank or other financial institution that is not owned or controlled by the financial institution furnishing the collateral. </w:t>
      </w:r>
    </w:p>
    <w:p w:rsidR="009D3865" w:rsidRDefault="009D3865" w:rsidP="009D3865">
      <w:pPr>
        <w:pStyle w:val="Footer"/>
        <w:tabs>
          <w:tab w:val="left" w:pos="720"/>
        </w:tabs>
        <w:spacing w:line="240" w:lineRule="atLeast"/>
        <w:rPr>
          <w:rFonts w:ascii="Arial" w:hAnsi="Arial" w:cs="Arial"/>
          <w:sz w:val="22"/>
          <w:szCs w:val="22"/>
        </w:rPr>
      </w:pPr>
    </w:p>
    <w:p w:rsidR="009D3865" w:rsidRDefault="009D3865" w:rsidP="009D3865">
      <w:pPr>
        <w:pStyle w:val="Footer"/>
        <w:tabs>
          <w:tab w:val="left" w:pos="720"/>
        </w:tabs>
        <w:spacing w:line="240" w:lineRule="atLeast"/>
        <w:rPr>
          <w:rFonts w:ascii="Arial" w:hAnsi="Arial" w:cs="Arial"/>
          <w:sz w:val="22"/>
          <w:szCs w:val="22"/>
          <w:u w:val="single"/>
        </w:rPr>
      </w:pPr>
      <w:r>
        <w:rPr>
          <w:rFonts w:ascii="Arial" w:hAnsi="Arial" w:cs="Arial"/>
          <w:sz w:val="22"/>
          <w:szCs w:val="22"/>
          <w:u w:val="single"/>
        </w:rPr>
        <w:t>Custodial Credit Risk Deposits</w:t>
      </w:r>
    </w:p>
    <w:p w:rsidR="009D3865" w:rsidRDefault="009D3865" w:rsidP="009D3865">
      <w:pPr>
        <w:spacing w:line="240" w:lineRule="atLeast"/>
        <w:jc w:val="both"/>
        <w:rPr>
          <w:rFonts w:ascii="Arial" w:hAnsi="Arial" w:cs="Arial"/>
          <w:sz w:val="22"/>
          <w:szCs w:val="22"/>
        </w:rPr>
      </w:pPr>
      <w:r>
        <w:rPr>
          <w:rFonts w:ascii="Arial" w:hAnsi="Arial" w:cs="Arial"/>
          <w:sz w:val="22"/>
          <w:szCs w:val="22"/>
        </w:rPr>
        <w:t xml:space="preserve">Custodial credit risk is the risk that in the event of a financial institution failure, the </w:t>
      </w:r>
      <w:r w:rsidR="00052D19">
        <w:rPr>
          <w:rFonts w:ascii="Arial" w:hAnsi="Arial" w:cs="Arial"/>
          <w:sz w:val="22"/>
          <w:szCs w:val="22"/>
        </w:rPr>
        <w:t>District</w:t>
      </w:r>
      <w:r>
        <w:rPr>
          <w:rFonts w:ascii="Arial" w:hAnsi="Arial" w:cs="Arial"/>
          <w:sz w:val="22"/>
          <w:szCs w:val="22"/>
        </w:rPr>
        <w:t xml:space="preserve">’s deposits may not be returned to it. The </w:t>
      </w:r>
      <w:r w:rsidR="00052D19">
        <w:rPr>
          <w:rFonts w:ascii="Arial" w:hAnsi="Arial" w:cs="Arial"/>
          <w:sz w:val="22"/>
          <w:szCs w:val="22"/>
        </w:rPr>
        <w:t>District</w:t>
      </w:r>
      <w:r>
        <w:rPr>
          <w:rFonts w:ascii="Arial" w:hAnsi="Arial" w:cs="Arial"/>
          <w:sz w:val="22"/>
          <w:szCs w:val="22"/>
        </w:rPr>
        <w:t xml:space="preserve"> does not have a deposit policy for custodial credit risk. As of </w:t>
      </w:r>
      <w:r w:rsidR="00FE53DF">
        <w:rPr>
          <w:rFonts w:ascii="Arial" w:hAnsi="Arial" w:cs="Arial"/>
          <w:sz w:val="22"/>
          <w:szCs w:val="22"/>
        </w:rPr>
        <w:t>December 31</w:t>
      </w:r>
      <w:r w:rsidR="00940DC9">
        <w:rPr>
          <w:rFonts w:ascii="Arial" w:hAnsi="Arial" w:cs="Arial"/>
          <w:sz w:val="22"/>
          <w:szCs w:val="22"/>
        </w:rPr>
        <w:t xml:space="preserve">, </w:t>
      </w:r>
      <w:r w:rsidR="00B05FAB">
        <w:rPr>
          <w:rFonts w:ascii="Arial" w:hAnsi="Arial" w:cs="Arial"/>
          <w:sz w:val="22"/>
          <w:szCs w:val="22"/>
        </w:rPr>
        <w:t>2018</w:t>
      </w:r>
      <w:r>
        <w:rPr>
          <w:rFonts w:ascii="Arial" w:hAnsi="Arial" w:cs="Arial"/>
          <w:sz w:val="22"/>
          <w:szCs w:val="22"/>
        </w:rPr>
        <w:t xml:space="preserve">, the </w:t>
      </w:r>
      <w:r w:rsidR="00052D19">
        <w:rPr>
          <w:rFonts w:ascii="Arial" w:hAnsi="Arial" w:cs="Arial"/>
          <w:sz w:val="22"/>
          <w:szCs w:val="22"/>
        </w:rPr>
        <w:t>District</w:t>
      </w:r>
      <w:r>
        <w:rPr>
          <w:rFonts w:ascii="Arial" w:hAnsi="Arial" w:cs="Arial"/>
          <w:sz w:val="22"/>
          <w:szCs w:val="22"/>
        </w:rPr>
        <w:t xml:space="preserve">’s deposits were not exposed to custodial credit risk. </w:t>
      </w:r>
    </w:p>
    <w:p w:rsidR="00B8417B" w:rsidRDefault="00B8417B" w:rsidP="009D3865">
      <w:pPr>
        <w:spacing w:line="240" w:lineRule="atLeast"/>
        <w:jc w:val="both"/>
        <w:rPr>
          <w:rFonts w:ascii="Arial" w:hAnsi="Arial" w:cs="Arial"/>
          <w:sz w:val="22"/>
          <w:szCs w:val="22"/>
        </w:rPr>
      </w:pPr>
    </w:p>
    <w:p w:rsidR="00B8417B" w:rsidRDefault="00B8417B" w:rsidP="00B8417B">
      <w:pPr>
        <w:pStyle w:val="Heading4"/>
        <w:rPr>
          <w:sz w:val="22"/>
          <w:szCs w:val="22"/>
          <w:u w:val="single"/>
        </w:rPr>
      </w:pPr>
      <w:r>
        <w:rPr>
          <w:sz w:val="22"/>
          <w:szCs w:val="22"/>
          <w:u w:val="single"/>
        </w:rPr>
        <w:t xml:space="preserve">Note 3 - Defined Benefit Pension Plans </w:t>
      </w:r>
    </w:p>
    <w:p w:rsidR="00B8417B" w:rsidRDefault="00B8417B" w:rsidP="00B8417B">
      <w:pPr>
        <w:spacing w:line="240" w:lineRule="atLeast"/>
        <w:rPr>
          <w:rFonts w:ascii="Arial" w:hAnsi="Arial" w:cs="Arial"/>
          <w:sz w:val="22"/>
          <w:szCs w:val="22"/>
        </w:rPr>
      </w:pPr>
    </w:p>
    <w:p w:rsidR="00B8417B" w:rsidRPr="008D122A" w:rsidRDefault="00B8417B" w:rsidP="00B8417B">
      <w:pPr>
        <w:spacing w:line="240" w:lineRule="atLeast"/>
        <w:ind w:left="180" w:firstLine="360"/>
        <w:jc w:val="both"/>
        <w:rPr>
          <w:rFonts w:ascii="Arial" w:hAnsi="Arial" w:cs="Arial"/>
          <w:sz w:val="22"/>
          <w:szCs w:val="22"/>
          <w:u w:val="single"/>
        </w:rPr>
      </w:pPr>
      <w:r w:rsidRPr="008D122A">
        <w:rPr>
          <w:rFonts w:ascii="Arial" w:hAnsi="Arial" w:cs="Arial"/>
          <w:sz w:val="22"/>
          <w:szCs w:val="22"/>
          <w:u w:val="single"/>
        </w:rPr>
        <w:t>Plan Description</w:t>
      </w:r>
      <w:r>
        <w:rPr>
          <w:rFonts w:ascii="Arial" w:hAnsi="Arial" w:cs="Arial"/>
          <w:sz w:val="22"/>
          <w:szCs w:val="22"/>
          <w:u w:val="single"/>
        </w:rPr>
        <w:t xml:space="preserve"> - Public Employees Retirement Association</w:t>
      </w:r>
    </w:p>
    <w:p w:rsidR="00B8417B" w:rsidRDefault="00B8417B" w:rsidP="00B8417B">
      <w:pPr>
        <w:pStyle w:val="ListParagraph"/>
        <w:spacing w:line="240" w:lineRule="atLeast"/>
        <w:ind w:left="540"/>
        <w:jc w:val="both"/>
        <w:rPr>
          <w:rFonts w:ascii="Arial" w:hAnsi="Arial" w:cs="Arial"/>
          <w:sz w:val="22"/>
          <w:szCs w:val="22"/>
        </w:rPr>
      </w:pPr>
      <w:r>
        <w:rPr>
          <w:rFonts w:ascii="Arial" w:hAnsi="Arial" w:cs="Arial"/>
          <w:sz w:val="22"/>
          <w:szCs w:val="22"/>
        </w:rPr>
        <w:t>The District</w:t>
      </w:r>
      <w:r w:rsidRPr="00530F50">
        <w:rPr>
          <w:rFonts w:ascii="Arial" w:hAnsi="Arial" w:cs="Arial"/>
          <w:sz w:val="22"/>
          <w:szCs w:val="22"/>
        </w:rPr>
        <w:t xml:space="preserve"> </w:t>
      </w:r>
      <w:r>
        <w:rPr>
          <w:rFonts w:ascii="Arial" w:hAnsi="Arial" w:cs="Arial"/>
          <w:sz w:val="22"/>
          <w:szCs w:val="22"/>
        </w:rPr>
        <w:t>contributes to a cost-sharing multiple-employer defined pension plan administered by the Public Employee Retirement Association of Minnesota (PERA). The PERA provides retirement benefits as well as disability to members, and benefits to survivors upon death of eligible members. The plan and its benefits are established and administered in accordance with Minn. Statute Chapters 353 and 356. PERA issues a publicly available financial report that includes financial statements and required supplementary information. That report may be obtained by writing to the Public Employees Retirement Association, 60 Empire Drive, Suite 200, St. Paul, Minnesota 55103-1855.</w:t>
      </w:r>
    </w:p>
    <w:p w:rsidR="00B8417B" w:rsidRDefault="00B8417B" w:rsidP="009D3865">
      <w:pPr>
        <w:spacing w:line="240" w:lineRule="atLeast"/>
        <w:jc w:val="both"/>
        <w:rPr>
          <w:rFonts w:ascii="Arial" w:hAnsi="Arial" w:cs="Arial"/>
          <w:sz w:val="22"/>
          <w:szCs w:val="22"/>
        </w:rPr>
      </w:pPr>
    </w:p>
    <w:p w:rsidR="00B8417B" w:rsidRDefault="00B8417B" w:rsidP="009D3865">
      <w:pPr>
        <w:spacing w:line="240" w:lineRule="atLeast"/>
        <w:jc w:val="both"/>
        <w:rPr>
          <w:rFonts w:ascii="Arial" w:hAnsi="Arial" w:cs="Arial"/>
          <w:sz w:val="22"/>
          <w:szCs w:val="22"/>
        </w:rPr>
        <w:sectPr w:rsidR="00B8417B">
          <w:pgSz w:w="12240" w:h="15840"/>
          <w:pgMar w:top="1440" w:right="1440" w:bottom="1440" w:left="1800" w:header="720" w:footer="720" w:gutter="0"/>
          <w:cols w:space="720"/>
        </w:sectPr>
      </w:pPr>
    </w:p>
    <w:p w:rsidR="009D3865" w:rsidRDefault="009D3865" w:rsidP="009D3865">
      <w:pPr>
        <w:spacing w:line="240" w:lineRule="atLeast"/>
        <w:jc w:val="both"/>
        <w:rPr>
          <w:rFonts w:ascii="Arial" w:hAnsi="Arial" w:cs="Arial"/>
          <w:sz w:val="22"/>
          <w:szCs w:val="22"/>
        </w:rPr>
      </w:pPr>
    </w:p>
    <w:p w:rsidR="00E57CC7" w:rsidRDefault="00E57CC7" w:rsidP="00E57CC7">
      <w:pPr>
        <w:pStyle w:val="ListParagraph"/>
        <w:spacing w:line="240" w:lineRule="atLeast"/>
        <w:ind w:left="540"/>
        <w:jc w:val="both"/>
        <w:rPr>
          <w:rFonts w:ascii="Arial" w:hAnsi="Arial" w:cs="Arial"/>
          <w:sz w:val="22"/>
          <w:szCs w:val="22"/>
          <w:u w:val="single"/>
        </w:rPr>
      </w:pPr>
      <w:r w:rsidRPr="00BB31E0">
        <w:rPr>
          <w:rFonts w:ascii="Arial" w:hAnsi="Arial" w:cs="Arial"/>
          <w:sz w:val="22"/>
          <w:szCs w:val="22"/>
          <w:u w:val="single"/>
        </w:rPr>
        <w:t>Funding Policy</w:t>
      </w:r>
    </w:p>
    <w:p w:rsidR="00E57CC7" w:rsidRPr="00BB31E0" w:rsidRDefault="00E57CC7" w:rsidP="00E57CC7">
      <w:pPr>
        <w:pStyle w:val="ListParagraph"/>
        <w:spacing w:line="240" w:lineRule="atLeast"/>
        <w:ind w:left="540"/>
        <w:jc w:val="both"/>
        <w:rPr>
          <w:rFonts w:ascii="Arial" w:hAnsi="Arial" w:cs="Arial"/>
          <w:sz w:val="22"/>
          <w:szCs w:val="22"/>
        </w:rPr>
      </w:pPr>
      <w:r>
        <w:rPr>
          <w:rFonts w:ascii="Arial" w:hAnsi="Arial" w:cs="Arial"/>
          <w:sz w:val="22"/>
          <w:szCs w:val="22"/>
        </w:rPr>
        <w:t xml:space="preserve">Minnesota Statutes Chapter 353 sets the rates for employer and employee contributions. These statutes are established and amended by the state legislature. The District makes annual contributions to the pension plans equal to the amount required by state statutes. Coordinated Plan members were required to contribute 6.5% of their annual covered salary. The District is required to contribute 7.5% of annual covered payroll. The District’s contributions to the Public Employees Retirement Fund for the years ending December 31, </w:t>
      </w:r>
      <w:r w:rsidR="00B05FAB">
        <w:rPr>
          <w:rFonts w:ascii="Arial" w:hAnsi="Arial" w:cs="Arial"/>
          <w:sz w:val="22"/>
          <w:szCs w:val="22"/>
        </w:rPr>
        <w:t>2018</w:t>
      </w:r>
      <w:r w:rsidR="00B8417B">
        <w:rPr>
          <w:rFonts w:ascii="Arial" w:hAnsi="Arial" w:cs="Arial"/>
          <w:sz w:val="22"/>
          <w:szCs w:val="22"/>
        </w:rPr>
        <w:t>, 201</w:t>
      </w:r>
      <w:r w:rsidR="00B05FAB">
        <w:rPr>
          <w:rFonts w:ascii="Arial" w:hAnsi="Arial" w:cs="Arial"/>
          <w:sz w:val="22"/>
          <w:szCs w:val="22"/>
        </w:rPr>
        <w:t>7</w:t>
      </w:r>
      <w:r>
        <w:rPr>
          <w:rFonts w:ascii="Arial" w:hAnsi="Arial" w:cs="Arial"/>
          <w:sz w:val="22"/>
          <w:szCs w:val="22"/>
        </w:rPr>
        <w:t xml:space="preserve"> and 201</w:t>
      </w:r>
      <w:r w:rsidR="00B05FAB">
        <w:rPr>
          <w:rFonts w:ascii="Arial" w:hAnsi="Arial" w:cs="Arial"/>
          <w:sz w:val="22"/>
          <w:szCs w:val="22"/>
        </w:rPr>
        <w:t>6</w:t>
      </w:r>
      <w:r>
        <w:rPr>
          <w:rFonts w:ascii="Arial" w:hAnsi="Arial" w:cs="Arial"/>
          <w:sz w:val="22"/>
          <w:szCs w:val="22"/>
        </w:rPr>
        <w:t xml:space="preserve"> were $</w:t>
      </w:r>
      <w:proofErr w:type="gramStart"/>
      <w:r>
        <w:rPr>
          <w:rFonts w:ascii="Arial" w:hAnsi="Arial" w:cs="Arial"/>
          <w:sz w:val="22"/>
          <w:szCs w:val="22"/>
        </w:rPr>
        <w:t>???,</w:t>
      </w:r>
      <w:proofErr w:type="gramEnd"/>
      <w:r>
        <w:rPr>
          <w:rFonts w:ascii="Arial" w:hAnsi="Arial" w:cs="Arial"/>
          <w:sz w:val="22"/>
          <w:szCs w:val="22"/>
        </w:rPr>
        <w:t xml:space="preserve"> $???, and $???, respectively. The District’s contributions were equal to the contractually required contributions for each year as set by Minnesota statute. </w:t>
      </w:r>
    </w:p>
    <w:p w:rsidR="00B57077" w:rsidRDefault="00B57077" w:rsidP="00905DC4">
      <w:pPr>
        <w:pStyle w:val="Heading1"/>
        <w:jc w:val="left"/>
        <w:rPr>
          <w:rFonts w:cs="Arial"/>
          <w:sz w:val="22"/>
          <w:szCs w:val="22"/>
          <w:u w:val="single"/>
        </w:rPr>
      </w:pPr>
    </w:p>
    <w:p w:rsidR="009D3865" w:rsidRDefault="009D3865" w:rsidP="009D3865">
      <w:pPr>
        <w:pStyle w:val="Heading1"/>
        <w:jc w:val="left"/>
        <w:rPr>
          <w:rFonts w:cs="Arial"/>
          <w:sz w:val="22"/>
          <w:szCs w:val="22"/>
          <w:u w:val="single"/>
        </w:rPr>
      </w:pPr>
      <w:r>
        <w:rPr>
          <w:rFonts w:cs="Arial"/>
          <w:sz w:val="22"/>
          <w:szCs w:val="22"/>
          <w:u w:val="single"/>
        </w:rPr>
        <w:t xml:space="preserve">Note </w:t>
      </w:r>
      <w:r w:rsidR="00031509">
        <w:rPr>
          <w:rFonts w:cs="Arial"/>
          <w:sz w:val="22"/>
          <w:szCs w:val="22"/>
          <w:u w:val="single"/>
        </w:rPr>
        <w:t>4</w:t>
      </w:r>
      <w:r>
        <w:rPr>
          <w:rFonts w:cs="Arial"/>
          <w:sz w:val="22"/>
          <w:szCs w:val="22"/>
          <w:u w:val="single"/>
        </w:rPr>
        <w:t xml:space="preserve"> - Operating Leases</w:t>
      </w:r>
    </w:p>
    <w:p w:rsidR="009D3865" w:rsidRDefault="009D3865" w:rsidP="009D3865">
      <w:pPr>
        <w:spacing w:line="240" w:lineRule="atLeast"/>
        <w:rPr>
          <w:rFonts w:ascii="Arial" w:hAnsi="Arial" w:cs="Arial"/>
          <w:sz w:val="22"/>
          <w:szCs w:val="22"/>
          <w:u w:val="single"/>
        </w:rPr>
      </w:pPr>
    </w:p>
    <w:p w:rsidR="00031509" w:rsidRDefault="009D3865" w:rsidP="009D3865">
      <w:pPr>
        <w:spacing w:line="240" w:lineRule="atLeast"/>
        <w:jc w:val="both"/>
        <w:rPr>
          <w:rFonts w:ascii="Arial" w:hAnsi="Arial" w:cs="Arial"/>
          <w:sz w:val="22"/>
          <w:szCs w:val="22"/>
        </w:rPr>
      </w:pPr>
      <w:r>
        <w:rPr>
          <w:rFonts w:ascii="Arial" w:hAnsi="Arial" w:cs="Arial"/>
          <w:sz w:val="22"/>
          <w:szCs w:val="22"/>
        </w:rPr>
        <w:t xml:space="preserve">The </w:t>
      </w:r>
      <w:r w:rsidR="00B8417B">
        <w:rPr>
          <w:rFonts w:ascii="Arial" w:hAnsi="Arial" w:cs="Arial"/>
          <w:sz w:val="22"/>
          <w:szCs w:val="22"/>
        </w:rPr>
        <w:t>District leases office space on a yearly basis</w:t>
      </w:r>
      <w:r w:rsidR="00B26DC3">
        <w:rPr>
          <w:rFonts w:ascii="Arial" w:hAnsi="Arial" w:cs="Arial"/>
          <w:sz w:val="22"/>
          <w:szCs w:val="22"/>
        </w:rPr>
        <w:t>.</w:t>
      </w:r>
      <w:r w:rsidR="00B8417B">
        <w:rPr>
          <w:rFonts w:ascii="Arial" w:hAnsi="Arial" w:cs="Arial"/>
          <w:sz w:val="22"/>
          <w:szCs w:val="22"/>
        </w:rPr>
        <w:t xml:space="preserve"> Under the current agreement total costs for </w:t>
      </w:r>
      <w:r w:rsidR="00B05FAB">
        <w:rPr>
          <w:rFonts w:ascii="Arial" w:hAnsi="Arial" w:cs="Arial"/>
          <w:sz w:val="22"/>
          <w:szCs w:val="22"/>
        </w:rPr>
        <w:t>2018</w:t>
      </w:r>
      <w:r w:rsidR="00B8417B">
        <w:rPr>
          <w:rFonts w:ascii="Arial" w:hAnsi="Arial" w:cs="Arial"/>
          <w:sz w:val="22"/>
          <w:szCs w:val="22"/>
        </w:rPr>
        <w:t xml:space="preserve"> were $</w:t>
      </w:r>
      <w:proofErr w:type="gramStart"/>
      <w:r w:rsidR="00B8417B">
        <w:rPr>
          <w:rFonts w:ascii="Arial" w:hAnsi="Arial" w:cs="Arial"/>
          <w:sz w:val="22"/>
          <w:szCs w:val="22"/>
        </w:rPr>
        <w:t>???.</w:t>
      </w:r>
      <w:proofErr w:type="gramEnd"/>
    </w:p>
    <w:p w:rsidR="009D3865" w:rsidRDefault="009D3865" w:rsidP="009D3865">
      <w:pPr>
        <w:spacing w:line="240" w:lineRule="atLeast"/>
        <w:jc w:val="both"/>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b/>
          <w:sz w:val="22"/>
          <w:szCs w:val="22"/>
          <w:u w:val="single"/>
        </w:rPr>
        <w:t xml:space="preserve">Note </w:t>
      </w:r>
      <w:r w:rsidR="00031509">
        <w:rPr>
          <w:rFonts w:ascii="Arial" w:hAnsi="Arial" w:cs="Arial"/>
          <w:b/>
          <w:sz w:val="22"/>
          <w:szCs w:val="22"/>
          <w:u w:val="single"/>
        </w:rPr>
        <w:t>5</w:t>
      </w:r>
      <w:r>
        <w:rPr>
          <w:rFonts w:ascii="Arial" w:hAnsi="Arial" w:cs="Arial"/>
          <w:b/>
          <w:sz w:val="22"/>
          <w:szCs w:val="22"/>
          <w:u w:val="single"/>
        </w:rPr>
        <w:t xml:space="preserve"> - Stewardship, Complian</w:t>
      </w:r>
      <w:bookmarkStart w:id="1" w:name="_GoBack"/>
      <w:bookmarkEnd w:id="1"/>
      <w:r>
        <w:rPr>
          <w:rFonts w:ascii="Arial" w:hAnsi="Arial" w:cs="Arial"/>
          <w:b/>
          <w:sz w:val="22"/>
          <w:szCs w:val="22"/>
          <w:u w:val="single"/>
        </w:rPr>
        <w:t>ce and Accountability</w:t>
      </w:r>
    </w:p>
    <w:p w:rsidR="009D3865" w:rsidRDefault="009D3865" w:rsidP="009D3865">
      <w:pPr>
        <w:spacing w:line="240" w:lineRule="atLeast"/>
        <w:jc w:val="both"/>
        <w:rPr>
          <w:rFonts w:ascii="Arial" w:hAnsi="Arial" w:cs="Arial"/>
          <w:sz w:val="22"/>
          <w:szCs w:val="22"/>
        </w:rPr>
      </w:pPr>
    </w:p>
    <w:p w:rsidR="009D3865" w:rsidRDefault="009D3865" w:rsidP="009D3865">
      <w:pPr>
        <w:spacing w:line="240" w:lineRule="atLeast"/>
        <w:jc w:val="both"/>
        <w:rPr>
          <w:rFonts w:ascii="Arial" w:hAnsi="Arial" w:cs="Arial"/>
          <w:sz w:val="22"/>
          <w:szCs w:val="22"/>
        </w:rPr>
      </w:pPr>
      <w:r>
        <w:rPr>
          <w:rFonts w:ascii="Arial" w:hAnsi="Arial" w:cs="Arial"/>
          <w:sz w:val="22"/>
          <w:szCs w:val="22"/>
        </w:rPr>
        <w:t>Excess of expenditures over budget – The General Fund had expenditures in excess of budget for the year as follows:  Expenditures $</w:t>
      </w:r>
      <w:r w:rsidR="00B2647D">
        <w:rPr>
          <w:rFonts w:ascii="Arial" w:hAnsi="Arial" w:cs="Arial"/>
          <w:sz w:val="22"/>
          <w:szCs w:val="22"/>
        </w:rPr>
        <w:t>????</w:t>
      </w:r>
      <w:r>
        <w:rPr>
          <w:rFonts w:ascii="Arial" w:hAnsi="Arial" w:cs="Arial"/>
          <w:sz w:val="22"/>
          <w:szCs w:val="22"/>
        </w:rPr>
        <w:t>; Budget $</w:t>
      </w:r>
      <w:r w:rsidR="00B2647D">
        <w:rPr>
          <w:rFonts w:ascii="Arial" w:hAnsi="Arial" w:cs="Arial"/>
          <w:sz w:val="22"/>
          <w:szCs w:val="22"/>
        </w:rPr>
        <w:t>????</w:t>
      </w:r>
      <w:r>
        <w:rPr>
          <w:rFonts w:ascii="Arial" w:hAnsi="Arial" w:cs="Arial"/>
          <w:sz w:val="22"/>
          <w:szCs w:val="22"/>
        </w:rPr>
        <w:t>; Excess $</w:t>
      </w:r>
      <w:r w:rsidR="00B2647D">
        <w:rPr>
          <w:rFonts w:ascii="Arial" w:hAnsi="Arial" w:cs="Arial"/>
          <w:sz w:val="22"/>
          <w:szCs w:val="22"/>
        </w:rPr>
        <w:t>????</w:t>
      </w:r>
      <w:r>
        <w:rPr>
          <w:rFonts w:ascii="Arial" w:hAnsi="Arial" w:cs="Arial"/>
          <w:sz w:val="22"/>
          <w:szCs w:val="22"/>
        </w:rPr>
        <w:t>.</w:t>
      </w:r>
    </w:p>
    <w:p w:rsidR="00314A28" w:rsidRDefault="00314A28" w:rsidP="009D3865">
      <w:pPr>
        <w:spacing w:line="240" w:lineRule="atLeast"/>
        <w:jc w:val="both"/>
        <w:rPr>
          <w:rFonts w:ascii="Arial" w:hAnsi="Arial" w:cs="Arial"/>
          <w:sz w:val="22"/>
          <w:szCs w:val="22"/>
        </w:rPr>
      </w:pPr>
    </w:p>
    <w:p w:rsidR="009D3865" w:rsidRDefault="009D3865" w:rsidP="009D3865">
      <w:pPr>
        <w:pStyle w:val="Heading1"/>
        <w:jc w:val="left"/>
        <w:rPr>
          <w:rFonts w:cs="Arial"/>
          <w:sz w:val="22"/>
          <w:szCs w:val="22"/>
          <w:u w:val="single"/>
        </w:rPr>
      </w:pPr>
      <w:r>
        <w:rPr>
          <w:rFonts w:cs="Arial"/>
          <w:sz w:val="22"/>
          <w:szCs w:val="22"/>
          <w:u w:val="single"/>
        </w:rPr>
        <w:t xml:space="preserve">Note </w:t>
      </w:r>
      <w:r w:rsidR="00031509">
        <w:rPr>
          <w:rFonts w:cs="Arial"/>
          <w:sz w:val="22"/>
          <w:szCs w:val="22"/>
          <w:u w:val="single"/>
        </w:rPr>
        <w:t>6</w:t>
      </w:r>
      <w:r>
        <w:rPr>
          <w:rFonts w:cs="Arial"/>
          <w:sz w:val="22"/>
          <w:szCs w:val="22"/>
          <w:u w:val="single"/>
        </w:rPr>
        <w:t xml:space="preserve"> - Reconciliation of Fund Balance to Net Position</w:t>
      </w:r>
    </w:p>
    <w:p w:rsidR="009D3865" w:rsidRDefault="009D3865" w:rsidP="009D3865">
      <w:pPr>
        <w:rPr>
          <w:rFonts w:ascii="Arial" w:hAnsi="Arial" w:cs="Arial"/>
          <w:sz w:val="22"/>
          <w:szCs w:val="22"/>
        </w:rPr>
      </w:pPr>
    </w:p>
    <w:p w:rsidR="009D3865" w:rsidRDefault="009D3865" w:rsidP="009D3865">
      <w:pPr>
        <w:tabs>
          <w:tab w:val="left" w:pos="720"/>
          <w:tab w:val="right" w:pos="7200"/>
        </w:tabs>
        <w:rPr>
          <w:rFonts w:ascii="Arial" w:hAnsi="Arial" w:cs="Arial"/>
          <w:sz w:val="22"/>
          <w:szCs w:val="22"/>
        </w:rPr>
      </w:pPr>
      <w:r>
        <w:rPr>
          <w:rFonts w:ascii="Arial" w:hAnsi="Arial" w:cs="Arial"/>
          <w:sz w:val="22"/>
          <w:szCs w:val="22"/>
        </w:rPr>
        <w:tab/>
        <w:t>Gove</w:t>
      </w:r>
      <w:r w:rsidR="00B74479">
        <w:rPr>
          <w:rFonts w:ascii="Arial" w:hAnsi="Arial" w:cs="Arial"/>
          <w:sz w:val="22"/>
          <w:szCs w:val="22"/>
        </w:rPr>
        <w:t xml:space="preserve">rnmental Fund Balance, </w:t>
      </w:r>
      <w:r w:rsidR="00E57CC7">
        <w:rPr>
          <w:rFonts w:ascii="Arial" w:hAnsi="Arial" w:cs="Arial"/>
          <w:sz w:val="22"/>
          <w:szCs w:val="22"/>
        </w:rPr>
        <w:t>January 1</w:t>
      </w:r>
      <w:r w:rsidR="00B2647D">
        <w:rPr>
          <w:rFonts w:ascii="Arial" w:hAnsi="Arial" w:cs="Arial"/>
          <w:sz w:val="22"/>
          <w:szCs w:val="22"/>
        </w:rPr>
        <w:tab/>
        <w:t>$0</w:t>
      </w:r>
    </w:p>
    <w:p w:rsidR="00BD730D" w:rsidRDefault="009D3865" w:rsidP="009D3865">
      <w:pPr>
        <w:tabs>
          <w:tab w:val="left" w:pos="720"/>
          <w:tab w:val="right" w:pos="7200"/>
        </w:tabs>
        <w:rPr>
          <w:rFonts w:ascii="Arial" w:hAnsi="Arial" w:cs="Arial"/>
          <w:sz w:val="22"/>
          <w:szCs w:val="22"/>
          <w:u w:val="single"/>
        </w:rPr>
      </w:pPr>
      <w:r>
        <w:rPr>
          <w:rFonts w:ascii="Arial" w:hAnsi="Arial" w:cs="Arial"/>
          <w:sz w:val="22"/>
          <w:szCs w:val="22"/>
        </w:rPr>
        <w:tab/>
      </w:r>
      <w:r w:rsidR="00E57CC7">
        <w:rPr>
          <w:rFonts w:ascii="Arial" w:hAnsi="Arial" w:cs="Arial"/>
          <w:sz w:val="22"/>
          <w:szCs w:val="22"/>
        </w:rPr>
        <w:t>Plus</w:t>
      </w:r>
      <w:r>
        <w:rPr>
          <w:rFonts w:ascii="Arial" w:hAnsi="Arial" w:cs="Arial"/>
          <w:sz w:val="22"/>
          <w:szCs w:val="22"/>
        </w:rPr>
        <w:t xml:space="preserve">:  Excess of Revenue Over Expenditures   </w:t>
      </w:r>
      <w:r>
        <w:rPr>
          <w:rFonts w:ascii="Arial" w:hAnsi="Arial" w:cs="Arial"/>
          <w:sz w:val="22"/>
          <w:szCs w:val="22"/>
        </w:rPr>
        <w:tab/>
      </w:r>
      <w:r w:rsidR="00B2647D" w:rsidRPr="00E57CC7">
        <w:rPr>
          <w:rFonts w:ascii="Arial" w:hAnsi="Arial" w:cs="Arial"/>
          <w:sz w:val="22"/>
          <w:szCs w:val="22"/>
          <w:u w:val="single"/>
        </w:rPr>
        <w:t>0</w:t>
      </w:r>
      <w:r>
        <w:rPr>
          <w:rFonts w:ascii="Arial" w:hAnsi="Arial" w:cs="Arial"/>
          <w:sz w:val="22"/>
          <w:szCs w:val="22"/>
          <w:u w:val="single"/>
        </w:rPr>
        <w:t xml:space="preserve"> </w:t>
      </w:r>
    </w:p>
    <w:p w:rsidR="009D3865" w:rsidRDefault="008B6ADD" w:rsidP="009D3865">
      <w:pPr>
        <w:tabs>
          <w:tab w:val="left" w:pos="720"/>
          <w:tab w:val="right" w:pos="7200"/>
        </w:tabs>
        <w:rPr>
          <w:rFonts w:ascii="Arial" w:hAnsi="Arial" w:cs="Arial"/>
          <w:sz w:val="22"/>
          <w:szCs w:val="2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4394200</wp:posOffset>
                </wp:positionH>
                <wp:positionV relativeFrom="paragraph">
                  <wp:posOffset>141604</wp:posOffset>
                </wp:positionV>
                <wp:extent cx="184785" cy="0"/>
                <wp:effectExtent l="0" t="0" r="2476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BD47B" id="_x0000_t32" coordsize="21600,21600" o:spt="32" o:oned="t" path="m,l21600,21600e" filled="f">
                <v:path arrowok="t" fillok="f" o:connecttype="none"/>
                <o:lock v:ext="edit" shapetype="t"/>
              </v:shapetype>
              <v:shape id="Straight Arrow Connector 2" o:spid="_x0000_s1026" type="#_x0000_t32" style="position:absolute;margin-left:346pt;margin-top:11.15pt;width:14.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OLRJAIAAEk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"/>
            </w:pict>
          </mc:Fallback>
        </mc:AlternateContent>
      </w:r>
      <w:r w:rsidR="00BD730D">
        <w:rPr>
          <w:rFonts w:ascii="Arial" w:hAnsi="Arial" w:cs="Arial"/>
          <w:sz w:val="22"/>
          <w:szCs w:val="22"/>
        </w:rPr>
        <w:tab/>
      </w:r>
      <w:r w:rsidR="009D3865">
        <w:rPr>
          <w:rFonts w:ascii="Arial" w:hAnsi="Arial" w:cs="Arial"/>
          <w:sz w:val="22"/>
          <w:szCs w:val="22"/>
        </w:rPr>
        <w:t xml:space="preserve">Governmental </w:t>
      </w:r>
      <w:r w:rsidR="00B74479">
        <w:rPr>
          <w:rFonts w:ascii="Arial" w:hAnsi="Arial" w:cs="Arial"/>
          <w:sz w:val="22"/>
          <w:szCs w:val="22"/>
        </w:rPr>
        <w:t xml:space="preserve">Fund Balance, </w:t>
      </w:r>
      <w:r w:rsidR="00E57CC7">
        <w:rPr>
          <w:rFonts w:ascii="Arial" w:hAnsi="Arial" w:cs="Arial"/>
          <w:sz w:val="22"/>
          <w:szCs w:val="22"/>
        </w:rPr>
        <w:t>December 31</w:t>
      </w:r>
      <w:r w:rsidR="009D3865">
        <w:rPr>
          <w:rFonts w:ascii="Arial" w:hAnsi="Arial" w:cs="Arial"/>
          <w:sz w:val="22"/>
          <w:szCs w:val="22"/>
        </w:rPr>
        <w:tab/>
      </w:r>
      <w:r w:rsidR="00B2647D" w:rsidRPr="00E57CC7">
        <w:rPr>
          <w:rFonts w:ascii="Arial" w:hAnsi="Arial" w:cs="Arial"/>
          <w:sz w:val="22"/>
          <w:szCs w:val="22"/>
          <w:u w:val="double"/>
        </w:rPr>
        <w:t>$0</w:t>
      </w:r>
    </w:p>
    <w:p w:rsidR="009D3865" w:rsidRDefault="009D3865" w:rsidP="009D3865">
      <w:pPr>
        <w:pStyle w:val="Footer"/>
        <w:tabs>
          <w:tab w:val="clear" w:pos="4320"/>
          <w:tab w:val="left" w:pos="720"/>
          <w:tab w:val="right" w:pos="7200"/>
        </w:tabs>
        <w:rPr>
          <w:rFonts w:ascii="Arial" w:hAnsi="Arial" w:cs="Arial"/>
          <w:sz w:val="22"/>
          <w:szCs w:val="22"/>
        </w:rPr>
      </w:pPr>
      <w:r>
        <w:rPr>
          <w:rFonts w:ascii="Arial" w:hAnsi="Arial" w:cs="Arial"/>
          <w:sz w:val="22"/>
          <w:szCs w:val="22"/>
        </w:rPr>
        <w:tab/>
      </w:r>
    </w:p>
    <w:p w:rsidR="009D3865" w:rsidRDefault="009D3865" w:rsidP="009D3865">
      <w:pPr>
        <w:tabs>
          <w:tab w:val="left" w:pos="720"/>
          <w:tab w:val="right" w:pos="7200"/>
        </w:tabs>
        <w:rPr>
          <w:rFonts w:ascii="Arial" w:hAnsi="Arial" w:cs="Arial"/>
          <w:sz w:val="22"/>
          <w:szCs w:val="22"/>
        </w:rPr>
      </w:pPr>
      <w:r>
        <w:rPr>
          <w:rFonts w:ascii="Arial" w:hAnsi="Arial" w:cs="Arial"/>
          <w:sz w:val="22"/>
          <w:szCs w:val="22"/>
        </w:rPr>
        <w:tab/>
        <w:t>Adjustments from Fund Balance to Net Position:</w:t>
      </w:r>
    </w:p>
    <w:p w:rsidR="009D3865" w:rsidRDefault="009D3865" w:rsidP="009D3865">
      <w:pPr>
        <w:tabs>
          <w:tab w:val="left" w:pos="720"/>
          <w:tab w:val="right" w:pos="7200"/>
        </w:tabs>
        <w:rPr>
          <w:rFonts w:ascii="Arial" w:hAnsi="Arial" w:cs="Arial"/>
          <w:sz w:val="22"/>
          <w:szCs w:val="22"/>
        </w:rPr>
      </w:pPr>
      <w:r>
        <w:rPr>
          <w:rFonts w:ascii="Arial" w:hAnsi="Arial" w:cs="Arial"/>
          <w:sz w:val="22"/>
          <w:szCs w:val="22"/>
        </w:rPr>
        <w:tab/>
        <w:t xml:space="preserve">Plus:  Capital Assets                                                        </w:t>
      </w:r>
      <w:r w:rsidR="00B2647D">
        <w:rPr>
          <w:rFonts w:ascii="Arial" w:hAnsi="Arial" w:cs="Arial"/>
          <w:sz w:val="22"/>
          <w:szCs w:val="22"/>
        </w:rPr>
        <w:t xml:space="preserve">  </w:t>
      </w:r>
    </w:p>
    <w:p w:rsidR="00E57CC7" w:rsidRDefault="00E57CC7" w:rsidP="009D3865">
      <w:pPr>
        <w:tabs>
          <w:tab w:val="left" w:pos="720"/>
          <w:tab w:val="right" w:pos="7200"/>
        </w:tabs>
        <w:rPr>
          <w:rFonts w:ascii="Arial" w:hAnsi="Arial" w:cs="Arial"/>
          <w:sz w:val="22"/>
          <w:szCs w:val="22"/>
        </w:rPr>
      </w:pPr>
      <w:r>
        <w:rPr>
          <w:rFonts w:ascii="Arial" w:hAnsi="Arial" w:cs="Arial"/>
          <w:sz w:val="22"/>
          <w:szCs w:val="22"/>
        </w:rPr>
        <w:tab/>
        <w:t>Plus: Deferred Outflows of Resources</w:t>
      </w:r>
    </w:p>
    <w:p w:rsidR="00E57CC7" w:rsidRDefault="00E57CC7" w:rsidP="00E57CC7">
      <w:pPr>
        <w:tabs>
          <w:tab w:val="left" w:pos="720"/>
          <w:tab w:val="right" w:pos="7200"/>
        </w:tabs>
        <w:rPr>
          <w:rFonts w:ascii="Arial" w:hAnsi="Arial" w:cs="Arial"/>
          <w:sz w:val="22"/>
          <w:szCs w:val="22"/>
        </w:rPr>
      </w:pPr>
      <w:r>
        <w:rPr>
          <w:rFonts w:ascii="Arial" w:hAnsi="Arial" w:cs="Arial"/>
          <w:sz w:val="22"/>
          <w:szCs w:val="22"/>
        </w:rPr>
        <w:tab/>
      </w:r>
      <w:r w:rsidR="009D3865">
        <w:rPr>
          <w:rFonts w:ascii="Arial" w:hAnsi="Arial" w:cs="Arial"/>
          <w:sz w:val="22"/>
          <w:szCs w:val="22"/>
        </w:rPr>
        <w:t xml:space="preserve">Less:  Long-Term Liabilities    </w:t>
      </w:r>
    </w:p>
    <w:p w:rsidR="00E57CC7" w:rsidRPr="00E57CC7" w:rsidRDefault="009D3865" w:rsidP="00E57CC7">
      <w:pPr>
        <w:tabs>
          <w:tab w:val="left" w:pos="720"/>
          <w:tab w:val="right" w:pos="7200"/>
        </w:tabs>
        <w:rPr>
          <w:rFonts w:ascii="Arial" w:hAnsi="Arial" w:cs="Arial"/>
          <w:sz w:val="22"/>
          <w:szCs w:val="22"/>
          <w:u w:val="single"/>
        </w:rPr>
      </w:pPr>
      <w:r>
        <w:rPr>
          <w:rFonts w:ascii="Arial" w:hAnsi="Arial" w:cs="Arial"/>
          <w:sz w:val="22"/>
          <w:szCs w:val="22"/>
        </w:rPr>
        <w:t xml:space="preserve">            </w:t>
      </w:r>
      <w:r w:rsidR="00E57CC7">
        <w:rPr>
          <w:rFonts w:ascii="Arial" w:hAnsi="Arial" w:cs="Arial"/>
          <w:sz w:val="22"/>
          <w:szCs w:val="22"/>
        </w:rPr>
        <w:t>Less: Deferred Inflows of Resources</w:t>
      </w:r>
      <w:r>
        <w:rPr>
          <w:rFonts w:ascii="Arial" w:hAnsi="Arial" w:cs="Arial"/>
          <w:sz w:val="22"/>
          <w:szCs w:val="22"/>
        </w:rPr>
        <w:tab/>
      </w:r>
      <w:r w:rsidR="00E57CC7" w:rsidRPr="00E57CC7">
        <w:rPr>
          <w:rFonts w:ascii="Arial" w:hAnsi="Arial" w:cs="Arial"/>
          <w:sz w:val="22"/>
          <w:szCs w:val="22"/>
          <w:u w:val="single"/>
        </w:rPr>
        <w:t>0</w:t>
      </w:r>
    </w:p>
    <w:p w:rsidR="00E20086" w:rsidRDefault="00E57CC7" w:rsidP="009D3865">
      <w:pPr>
        <w:pStyle w:val="Footer"/>
        <w:tabs>
          <w:tab w:val="clear" w:pos="4320"/>
          <w:tab w:val="left" w:pos="720"/>
          <w:tab w:val="right" w:pos="7200"/>
        </w:tabs>
        <w:rPr>
          <w:rFonts w:ascii="Arial" w:hAnsi="Arial" w:cs="Arial"/>
          <w:sz w:val="22"/>
          <w:szCs w:val="22"/>
          <w:u w:val="double"/>
        </w:rPr>
      </w:pPr>
      <w:r>
        <w:rPr>
          <w:rFonts w:ascii="Arial" w:hAnsi="Arial" w:cs="Arial"/>
          <w:sz w:val="22"/>
          <w:szCs w:val="22"/>
        </w:rPr>
        <w:tab/>
      </w:r>
      <w:r w:rsidR="009D3865">
        <w:rPr>
          <w:rFonts w:ascii="Arial" w:hAnsi="Arial" w:cs="Arial"/>
          <w:sz w:val="22"/>
          <w:szCs w:val="22"/>
        </w:rPr>
        <w:t xml:space="preserve">Net Position                                                                       </w:t>
      </w:r>
      <w:r w:rsidR="009D3865">
        <w:rPr>
          <w:rFonts w:ascii="Arial" w:hAnsi="Arial" w:cs="Arial"/>
          <w:sz w:val="22"/>
          <w:szCs w:val="22"/>
        </w:rPr>
        <w:tab/>
        <w:t xml:space="preserve"> </w:t>
      </w:r>
      <w:r w:rsidR="00B2647D">
        <w:rPr>
          <w:rFonts w:ascii="Arial" w:hAnsi="Arial" w:cs="Arial"/>
          <w:sz w:val="22"/>
          <w:szCs w:val="22"/>
          <w:u w:val="double"/>
        </w:rPr>
        <w:t>$0</w:t>
      </w:r>
    </w:p>
    <w:p w:rsidR="00944276" w:rsidRDefault="00944276" w:rsidP="009D3865">
      <w:pPr>
        <w:pStyle w:val="Footer"/>
        <w:tabs>
          <w:tab w:val="clear" w:pos="4320"/>
          <w:tab w:val="left" w:pos="720"/>
          <w:tab w:val="right" w:pos="7200"/>
        </w:tabs>
        <w:rPr>
          <w:rFonts w:ascii="Arial" w:hAnsi="Arial" w:cs="Arial"/>
          <w:sz w:val="22"/>
          <w:szCs w:val="22"/>
          <w:u w:val="double"/>
        </w:rPr>
      </w:pPr>
    </w:p>
    <w:p w:rsidR="00944276" w:rsidRDefault="00944276" w:rsidP="009D3865">
      <w:pPr>
        <w:pStyle w:val="Footer"/>
        <w:tabs>
          <w:tab w:val="clear" w:pos="4320"/>
          <w:tab w:val="left" w:pos="720"/>
          <w:tab w:val="right" w:pos="7200"/>
        </w:tabs>
        <w:rPr>
          <w:rFonts w:ascii="Arial" w:hAnsi="Arial" w:cs="Arial"/>
          <w:sz w:val="22"/>
          <w:szCs w:val="22"/>
          <w:u w:val="double"/>
        </w:rPr>
        <w:sectPr w:rsidR="00944276" w:rsidSect="00EA7292">
          <w:footerReference w:type="default" r:id="rId15"/>
          <w:pgSz w:w="12240" w:h="15840"/>
          <w:pgMar w:top="1440" w:right="1440" w:bottom="1440" w:left="1800" w:header="720" w:footer="720" w:gutter="0"/>
          <w:cols w:space="720"/>
        </w:sectPr>
      </w:pPr>
    </w:p>
    <w:p w:rsidR="00031509" w:rsidRDefault="00031509" w:rsidP="009D3865">
      <w:pPr>
        <w:pStyle w:val="Footer"/>
        <w:tabs>
          <w:tab w:val="clear" w:pos="4320"/>
          <w:tab w:val="left" w:pos="720"/>
          <w:tab w:val="right" w:pos="7200"/>
        </w:tabs>
        <w:rPr>
          <w:rFonts w:ascii="Arial" w:hAnsi="Arial" w:cs="Arial"/>
          <w:sz w:val="22"/>
          <w:szCs w:val="22"/>
          <w:u w:val="double"/>
        </w:rPr>
      </w:pPr>
    </w:p>
    <w:p w:rsidR="009D3865" w:rsidRDefault="009D3865" w:rsidP="009D3865">
      <w:pPr>
        <w:pStyle w:val="Heading1"/>
        <w:jc w:val="left"/>
        <w:rPr>
          <w:rFonts w:cs="Arial"/>
          <w:sz w:val="22"/>
          <w:szCs w:val="22"/>
          <w:u w:val="single"/>
        </w:rPr>
      </w:pPr>
      <w:r>
        <w:rPr>
          <w:rFonts w:cs="Arial"/>
          <w:sz w:val="22"/>
          <w:szCs w:val="22"/>
          <w:u w:val="single"/>
        </w:rPr>
        <w:t xml:space="preserve">Note </w:t>
      </w:r>
      <w:r w:rsidR="00031509">
        <w:rPr>
          <w:rFonts w:cs="Arial"/>
          <w:sz w:val="22"/>
          <w:szCs w:val="22"/>
          <w:u w:val="single"/>
        </w:rPr>
        <w:t>7</w:t>
      </w:r>
      <w:r>
        <w:rPr>
          <w:rFonts w:cs="Arial"/>
          <w:sz w:val="22"/>
          <w:szCs w:val="22"/>
          <w:u w:val="single"/>
        </w:rPr>
        <w:t xml:space="preserve"> - Reconciliation of Change in Fund Balance to Change in Net Position</w:t>
      </w:r>
    </w:p>
    <w:p w:rsidR="009D3865" w:rsidRDefault="009D3865" w:rsidP="009D3865">
      <w:pPr>
        <w:pStyle w:val="Heading2"/>
        <w:jc w:val="both"/>
        <w:rPr>
          <w:rFonts w:cs="Arial"/>
          <w:sz w:val="22"/>
          <w:szCs w:val="22"/>
        </w:rPr>
      </w:pPr>
      <w:r>
        <w:rPr>
          <w:rFonts w:cs="Arial"/>
          <w:sz w:val="22"/>
          <w:szCs w:val="22"/>
        </w:rPr>
        <w:t xml:space="preserve"> </w:t>
      </w:r>
    </w:p>
    <w:p w:rsidR="009D3865"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r>
      <w:r w:rsidR="00673E4C">
        <w:rPr>
          <w:rFonts w:ascii="Arial" w:hAnsi="Arial" w:cs="Arial"/>
          <w:sz w:val="22"/>
          <w:szCs w:val="22"/>
        </w:rPr>
        <w:t>Change in Fund B</w:t>
      </w:r>
      <w:r>
        <w:rPr>
          <w:rFonts w:ascii="Arial" w:hAnsi="Arial" w:cs="Arial"/>
          <w:sz w:val="22"/>
          <w:szCs w:val="22"/>
        </w:rPr>
        <w:t>alance</w:t>
      </w:r>
      <w:r>
        <w:rPr>
          <w:rFonts w:ascii="Arial" w:hAnsi="Arial" w:cs="Arial"/>
          <w:sz w:val="22"/>
          <w:szCs w:val="22"/>
        </w:rPr>
        <w:tab/>
        <w:t xml:space="preserve">    </w:t>
      </w:r>
      <w:r w:rsidR="00B2647D">
        <w:rPr>
          <w:rFonts w:ascii="Arial" w:hAnsi="Arial" w:cs="Arial"/>
          <w:sz w:val="22"/>
          <w:szCs w:val="22"/>
        </w:rPr>
        <w:t>$0</w:t>
      </w:r>
    </w:p>
    <w:p w:rsidR="009D3865" w:rsidRDefault="009D3865" w:rsidP="009D3865">
      <w:pPr>
        <w:tabs>
          <w:tab w:val="left" w:pos="720"/>
          <w:tab w:val="right" w:pos="7200"/>
        </w:tabs>
        <w:spacing w:line="240" w:lineRule="atLeast"/>
        <w:rPr>
          <w:rFonts w:ascii="Arial" w:hAnsi="Arial" w:cs="Arial"/>
          <w:sz w:val="22"/>
          <w:szCs w:val="22"/>
        </w:rPr>
      </w:pPr>
    </w:p>
    <w:p w:rsidR="00944276"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t xml:space="preserve">Capital Outlay     </w:t>
      </w:r>
      <w:r w:rsidR="00944276">
        <w:rPr>
          <w:rFonts w:ascii="Arial" w:hAnsi="Arial" w:cs="Arial"/>
          <w:sz w:val="22"/>
          <w:szCs w:val="22"/>
        </w:rPr>
        <w:tab/>
        <w:t>0</w:t>
      </w:r>
    </w:p>
    <w:p w:rsidR="00944276" w:rsidRDefault="00944276" w:rsidP="009D3865">
      <w:pPr>
        <w:tabs>
          <w:tab w:val="left" w:pos="720"/>
          <w:tab w:val="right" w:pos="7200"/>
        </w:tabs>
        <w:spacing w:line="240" w:lineRule="atLeast"/>
        <w:rPr>
          <w:rFonts w:ascii="Arial" w:hAnsi="Arial" w:cs="Arial"/>
          <w:sz w:val="22"/>
          <w:szCs w:val="22"/>
        </w:rPr>
      </w:pPr>
    </w:p>
    <w:p w:rsidR="009D3865" w:rsidRDefault="00944276" w:rsidP="009D3865">
      <w:pPr>
        <w:tabs>
          <w:tab w:val="left" w:pos="720"/>
          <w:tab w:val="right" w:pos="7200"/>
        </w:tabs>
        <w:spacing w:line="240" w:lineRule="atLeast"/>
        <w:rPr>
          <w:rFonts w:ascii="Arial" w:hAnsi="Arial" w:cs="Arial"/>
          <w:sz w:val="22"/>
          <w:szCs w:val="22"/>
        </w:rPr>
      </w:pPr>
      <w:r>
        <w:rPr>
          <w:rFonts w:ascii="Arial" w:hAnsi="Arial" w:cs="Arial"/>
          <w:sz w:val="22"/>
          <w:szCs w:val="22"/>
        </w:rPr>
        <w:tab/>
        <w:t>Pension Expense, net</w:t>
      </w:r>
      <w:r>
        <w:rPr>
          <w:rFonts w:ascii="Arial" w:hAnsi="Arial" w:cs="Arial"/>
          <w:sz w:val="22"/>
          <w:szCs w:val="22"/>
        </w:rPr>
        <w:tab/>
        <w:t>0</w:t>
      </w:r>
      <w:r w:rsidR="009D3865">
        <w:rPr>
          <w:rFonts w:ascii="Arial" w:hAnsi="Arial" w:cs="Arial"/>
          <w:sz w:val="22"/>
          <w:szCs w:val="22"/>
        </w:rPr>
        <w:t xml:space="preserve">                                                                   </w:t>
      </w:r>
    </w:p>
    <w:p w:rsidR="009D3865" w:rsidRDefault="009D3865" w:rsidP="009D3865">
      <w:pPr>
        <w:tabs>
          <w:tab w:val="left" w:pos="720"/>
          <w:tab w:val="right" w:pos="7200"/>
        </w:tabs>
        <w:spacing w:line="240" w:lineRule="atLeast"/>
        <w:rPr>
          <w:rFonts w:ascii="Arial" w:hAnsi="Arial" w:cs="Arial"/>
          <w:sz w:val="22"/>
          <w:szCs w:val="22"/>
        </w:rPr>
      </w:pPr>
    </w:p>
    <w:p w:rsidR="009D3865"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t>The costs of capital assets are allocated over the capital</w:t>
      </w:r>
    </w:p>
    <w:p w:rsidR="009D3865"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t xml:space="preserve">assets’ useful lives at the government-wide level.             </w:t>
      </w:r>
      <w:r w:rsidR="00031509">
        <w:rPr>
          <w:rFonts w:ascii="Arial" w:hAnsi="Arial" w:cs="Arial"/>
          <w:sz w:val="22"/>
          <w:szCs w:val="22"/>
        </w:rPr>
        <w:tab/>
      </w:r>
      <w:r>
        <w:rPr>
          <w:rFonts w:ascii="Arial" w:hAnsi="Arial" w:cs="Arial"/>
          <w:sz w:val="22"/>
          <w:szCs w:val="22"/>
        </w:rPr>
        <w:t xml:space="preserve"> </w:t>
      </w:r>
      <w:r w:rsidR="00B2647D">
        <w:rPr>
          <w:rFonts w:ascii="Arial" w:hAnsi="Arial" w:cs="Arial"/>
          <w:sz w:val="22"/>
          <w:szCs w:val="22"/>
        </w:rPr>
        <w:t>(0</w:t>
      </w:r>
      <w:r>
        <w:rPr>
          <w:rFonts w:ascii="Arial" w:hAnsi="Arial" w:cs="Arial"/>
          <w:sz w:val="22"/>
          <w:szCs w:val="22"/>
        </w:rPr>
        <w:t>)</w:t>
      </w:r>
    </w:p>
    <w:p w:rsidR="009D3865"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r>
      <w:r>
        <w:rPr>
          <w:rFonts w:ascii="Arial" w:hAnsi="Arial" w:cs="Arial"/>
          <w:sz w:val="22"/>
          <w:szCs w:val="22"/>
        </w:rPr>
        <w:tab/>
      </w:r>
    </w:p>
    <w:p w:rsidR="009D3865"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t>In the statement of activities certain operating expenses</w:t>
      </w:r>
    </w:p>
    <w:p w:rsidR="009D3865"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t xml:space="preserve">(including compensated absences) are measured by              </w:t>
      </w:r>
    </w:p>
    <w:p w:rsidR="009D3865" w:rsidRDefault="008B6ADD" w:rsidP="009D3865">
      <w:pPr>
        <w:tabs>
          <w:tab w:val="left" w:pos="720"/>
          <w:tab w:val="right" w:pos="7200"/>
        </w:tabs>
        <w:spacing w:line="240" w:lineRule="atLeast"/>
        <w:rPr>
          <w:rFonts w:ascii="Arial" w:hAnsi="Arial" w:cs="Arial"/>
          <w:sz w:val="22"/>
          <w:szCs w:val="22"/>
          <w:u w:val="single"/>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4010025</wp:posOffset>
                </wp:positionH>
                <wp:positionV relativeFrom="paragraph">
                  <wp:posOffset>156209</wp:posOffset>
                </wp:positionV>
                <wp:extent cx="5429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89882" id="Straight Arrow Connector 1" o:spid="_x0000_s1026" type="#_x0000_t32" style="position:absolute;margin-left:315.75pt;margin-top:12.3pt;width:4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"/>
            </w:pict>
          </mc:Fallback>
        </mc:AlternateContent>
      </w:r>
      <w:r w:rsidR="009D3865">
        <w:rPr>
          <w:rFonts w:ascii="Arial" w:hAnsi="Arial" w:cs="Arial"/>
          <w:sz w:val="22"/>
          <w:szCs w:val="22"/>
        </w:rPr>
        <w:tab/>
        <w:t xml:space="preserve">the amounts earned.                                                             </w:t>
      </w:r>
      <w:r w:rsidR="00031509">
        <w:rPr>
          <w:rFonts w:ascii="Arial" w:hAnsi="Arial" w:cs="Arial"/>
          <w:sz w:val="22"/>
          <w:szCs w:val="22"/>
        </w:rPr>
        <w:tab/>
      </w:r>
      <w:r w:rsidR="00B2647D">
        <w:rPr>
          <w:rFonts w:ascii="Arial" w:hAnsi="Arial" w:cs="Arial"/>
          <w:sz w:val="22"/>
          <w:szCs w:val="22"/>
        </w:rPr>
        <w:t>(0</w:t>
      </w:r>
      <w:r w:rsidR="009D3865">
        <w:rPr>
          <w:rFonts w:ascii="Arial" w:hAnsi="Arial" w:cs="Arial"/>
          <w:sz w:val="22"/>
          <w:szCs w:val="22"/>
        </w:rPr>
        <w:t xml:space="preserve">) </w:t>
      </w:r>
    </w:p>
    <w:p w:rsidR="009D3865" w:rsidRDefault="009D3865" w:rsidP="009D3865">
      <w:pPr>
        <w:tabs>
          <w:tab w:val="left" w:pos="720"/>
          <w:tab w:val="right" w:pos="7200"/>
        </w:tabs>
        <w:spacing w:line="240" w:lineRule="atLeast"/>
        <w:rPr>
          <w:rFonts w:ascii="Arial" w:hAnsi="Arial" w:cs="Arial"/>
          <w:sz w:val="22"/>
          <w:szCs w:val="22"/>
        </w:rPr>
      </w:pPr>
    </w:p>
    <w:p w:rsidR="009D3865" w:rsidRDefault="009D3865" w:rsidP="009D3865">
      <w:pPr>
        <w:tabs>
          <w:tab w:val="left" w:pos="720"/>
          <w:tab w:val="right" w:pos="7200"/>
        </w:tabs>
        <w:spacing w:line="240" w:lineRule="atLeast"/>
        <w:rPr>
          <w:rFonts w:ascii="Arial" w:hAnsi="Arial" w:cs="Arial"/>
          <w:sz w:val="22"/>
          <w:szCs w:val="22"/>
        </w:rPr>
      </w:pPr>
      <w:r>
        <w:rPr>
          <w:rFonts w:ascii="Arial" w:hAnsi="Arial" w:cs="Arial"/>
          <w:sz w:val="22"/>
          <w:szCs w:val="22"/>
        </w:rPr>
        <w:tab/>
      </w:r>
    </w:p>
    <w:p w:rsidR="009D3865" w:rsidRDefault="009D3865" w:rsidP="009D3865">
      <w:pPr>
        <w:spacing w:line="240" w:lineRule="atLeast"/>
        <w:rPr>
          <w:rFonts w:ascii="Arial" w:hAnsi="Arial" w:cs="Arial"/>
          <w:sz w:val="22"/>
          <w:szCs w:val="22"/>
          <w:u w:val="double"/>
        </w:rPr>
      </w:pPr>
      <w:r>
        <w:rPr>
          <w:rFonts w:ascii="Arial" w:hAnsi="Arial" w:cs="Arial"/>
          <w:sz w:val="22"/>
          <w:szCs w:val="22"/>
        </w:rPr>
        <w:tab/>
      </w:r>
      <w:r w:rsidR="00673E4C">
        <w:rPr>
          <w:rFonts w:ascii="Arial" w:hAnsi="Arial" w:cs="Arial"/>
          <w:sz w:val="22"/>
          <w:szCs w:val="22"/>
        </w:rPr>
        <w:t>Change in Net P</w:t>
      </w:r>
      <w:r>
        <w:rPr>
          <w:rFonts w:ascii="Arial" w:hAnsi="Arial" w:cs="Arial"/>
          <w:sz w:val="22"/>
          <w:szCs w:val="22"/>
        </w:rPr>
        <w:t>osition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031509">
        <w:rPr>
          <w:rFonts w:ascii="Arial" w:hAnsi="Arial" w:cs="Arial"/>
          <w:sz w:val="22"/>
          <w:szCs w:val="22"/>
        </w:rPr>
        <w:tab/>
        <w:t xml:space="preserve">      </w:t>
      </w:r>
      <w:r>
        <w:rPr>
          <w:rFonts w:ascii="Arial" w:hAnsi="Arial" w:cs="Arial"/>
          <w:sz w:val="22"/>
          <w:szCs w:val="22"/>
        </w:rPr>
        <w:t xml:space="preserve"> </w:t>
      </w:r>
      <w:r w:rsidR="00B2647D">
        <w:rPr>
          <w:rFonts w:ascii="Arial" w:hAnsi="Arial" w:cs="Arial"/>
          <w:sz w:val="22"/>
          <w:szCs w:val="22"/>
          <w:u w:val="double"/>
        </w:rPr>
        <w:t>$0</w:t>
      </w:r>
    </w:p>
    <w:p w:rsidR="009D3865" w:rsidRDefault="009D3865" w:rsidP="009D3865">
      <w:pPr>
        <w:rPr>
          <w:rFonts w:ascii="Arial" w:hAnsi="Arial" w:cs="Arial"/>
          <w:sz w:val="22"/>
          <w:szCs w:val="22"/>
        </w:rPr>
      </w:pPr>
    </w:p>
    <w:sectPr w:rsidR="009D3865" w:rsidSect="00EA7292">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E9" w:rsidRDefault="00A668E9" w:rsidP="006E1E1D">
      <w:r>
        <w:separator/>
      </w:r>
    </w:p>
  </w:endnote>
  <w:endnote w:type="continuationSeparator" w:id="0">
    <w:p w:rsidR="00A668E9" w:rsidRDefault="00A668E9" w:rsidP="006E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52A" w:rsidRDefault="005A3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1D" w:rsidRDefault="006E1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52A" w:rsidRDefault="005A35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52A" w:rsidRDefault="005A35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1D" w:rsidRDefault="006E1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E9" w:rsidRDefault="00A668E9" w:rsidP="006E1E1D">
      <w:r>
        <w:separator/>
      </w:r>
    </w:p>
  </w:footnote>
  <w:footnote w:type="continuationSeparator" w:id="0">
    <w:p w:rsidR="00A668E9" w:rsidRDefault="00A668E9" w:rsidP="006E1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52A" w:rsidRDefault="005A3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1D" w:rsidRPr="00B57077" w:rsidRDefault="00B57077" w:rsidP="00B57077">
    <w:pPr>
      <w:pStyle w:val="Header"/>
      <w:jc w:val="center"/>
      <w:rPr>
        <w:rFonts w:ascii="Arial" w:hAnsi="Arial" w:cs="Arial"/>
        <w:b/>
        <w:sz w:val="22"/>
        <w:szCs w:val="22"/>
      </w:rPr>
    </w:pPr>
    <w:r w:rsidRPr="00B57077">
      <w:rPr>
        <w:rFonts w:ascii="Arial" w:hAnsi="Arial" w:cs="Arial"/>
        <w:b/>
        <w:sz w:val="22"/>
        <w:szCs w:val="22"/>
      </w:rPr>
      <w:t>(NAME)</w:t>
    </w:r>
  </w:p>
  <w:p w:rsidR="00B57077" w:rsidRPr="00B57077" w:rsidRDefault="00B57077" w:rsidP="00B57077">
    <w:pPr>
      <w:jc w:val="center"/>
      <w:rPr>
        <w:rFonts w:ascii="Arial" w:hAnsi="Arial" w:cs="Arial"/>
        <w:b/>
        <w:sz w:val="22"/>
        <w:szCs w:val="22"/>
      </w:rPr>
    </w:pPr>
    <w:r w:rsidRPr="00B57077">
      <w:rPr>
        <w:rFonts w:ascii="Arial" w:hAnsi="Arial" w:cs="Arial"/>
        <w:b/>
        <w:sz w:val="22"/>
        <w:szCs w:val="22"/>
      </w:rPr>
      <w:t>NOTES TO THE FINANCIAL STATEMENTS</w:t>
    </w:r>
  </w:p>
  <w:p w:rsidR="00B57077" w:rsidRPr="00B57077" w:rsidRDefault="00B8417B" w:rsidP="00B57077">
    <w:pPr>
      <w:jc w:val="center"/>
      <w:rPr>
        <w:rFonts w:ascii="Arial" w:hAnsi="Arial" w:cs="Arial"/>
        <w:b/>
        <w:sz w:val="22"/>
        <w:szCs w:val="22"/>
      </w:rPr>
    </w:pPr>
    <w:r>
      <w:rPr>
        <w:rFonts w:ascii="Arial" w:hAnsi="Arial" w:cs="Arial"/>
        <w:b/>
        <w:sz w:val="22"/>
        <w:szCs w:val="22"/>
      </w:rPr>
      <w:t xml:space="preserve">DECEMBER 31, </w:t>
    </w:r>
    <w:r w:rsidR="00B05FAB">
      <w:rPr>
        <w:rFonts w:ascii="Arial" w:hAnsi="Arial" w:cs="Arial"/>
        <w:b/>
        <w:sz w:val="22"/>
        <w:szCs w:val="22"/>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52A" w:rsidRDefault="005A35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92608"/>
    <w:multiLevelType w:val="hybridMultilevel"/>
    <w:tmpl w:val="6068D6B8"/>
    <w:lvl w:ilvl="0" w:tplc="D28E2A62">
      <w:start w:val="1"/>
      <w:numFmt w:val="upperLetter"/>
      <w:lvlText w:val="%1."/>
      <w:lvlJc w:val="left"/>
      <w:pPr>
        <w:ind w:left="54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115560"/>
    <w:multiLevelType w:val="hybridMultilevel"/>
    <w:tmpl w:val="1D8AA916"/>
    <w:lvl w:ilvl="0" w:tplc="D28E2A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74C9B"/>
    <w:multiLevelType w:val="hybridMultilevel"/>
    <w:tmpl w:val="40264F98"/>
    <w:lvl w:ilvl="0" w:tplc="D28E2A62">
      <w:start w:val="1"/>
      <w:numFmt w:val="upperLetter"/>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5F3E33"/>
    <w:multiLevelType w:val="hybridMultilevel"/>
    <w:tmpl w:val="7A6CF1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7CFE7CA6"/>
    <w:multiLevelType w:val="hybridMultilevel"/>
    <w:tmpl w:val="6D46B5CE"/>
    <w:lvl w:ilvl="0" w:tplc="D28E2A62">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65"/>
    <w:rsid w:val="00012D5C"/>
    <w:rsid w:val="000211C5"/>
    <w:rsid w:val="00031509"/>
    <w:rsid w:val="00052D19"/>
    <w:rsid w:val="00074DB4"/>
    <w:rsid w:val="000B63B2"/>
    <w:rsid w:val="00136805"/>
    <w:rsid w:val="002126B7"/>
    <w:rsid w:val="002D1DF6"/>
    <w:rsid w:val="002D7FBF"/>
    <w:rsid w:val="00314A28"/>
    <w:rsid w:val="003568F0"/>
    <w:rsid w:val="00365ECB"/>
    <w:rsid w:val="00384D61"/>
    <w:rsid w:val="004416A6"/>
    <w:rsid w:val="0044276E"/>
    <w:rsid w:val="004B79DA"/>
    <w:rsid w:val="004E6F96"/>
    <w:rsid w:val="004E75A0"/>
    <w:rsid w:val="00514F1B"/>
    <w:rsid w:val="00530F50"/>
    <w:rsid w:val="005A352A"/>
    <w:rsid w:val="005C5C6D"/>
    <w:rsid w:val="005E46B0"/>
    <w:rsid w:val="00646343"/>
    <w:rsid w:val="00663636"/>
    <w:rsid w:val="00673E4C"/>
    <w:rsid w:val="006E1E1D"/>
    <w:rsid w:val="006F1116"/>
    <w:rsid w:val="00727BC3"/>
    <w:rsid w:val="00747A04"/>
    <w:rsid w:val="007639EF"/>
    <w:rsid w:val="00775CF1"/>
    <w:rsid w:val="007916A8"/>
    <w:rsid w:val="007C5307"/>
    <w:rsid w:val="00801C84"/>
    <w:rsid w:val="0083782E"/>
    <w:rsid w:val="008845BE"/>
    <w:rsid w:val="008B4595"/>
    <w:rsid w:val="008B6ADD"/>
    <w:rsid w:val="008B6B3E"/>
    <w:rsid w:val="008D122A"/>
    <w:rsid w:val="008E50F2"/>
    <w:rsid w:val="008F1B8E"/>
    <w:rsid w:val="00905DC4"/>
    <w:rsid w:val="00937162"/>
    <w:rsid w:val="00940DC9"/>
    <w:rsid w:val="00942495"/>
    <w:rsid w:val="00944276"/>
    <w:rsid w:val="00953F7D"/>
    <w:rsid w:val="0095779B"/>
    <w:rsid w:val="00970A57"/>
    <w:rsid w:val="009D3865"/>
    <w:rsid w:val="00A668E9"/>
    <w:rsid w:val="00AC603F"/>
    <w:rsid w:val="00B05FAB"/>
    <w:rsid w:val="00B2647D"/>
    <w:rsid w:val="00B26DC3"/>
    <w:rsid w:val="00B57077"/>
    <w:rsid w:val="00B74479"/>
    <w:rsid w:val="00B802FA"/>
    <w:rsid w:val="00B8417B"/>
    <w:rsid w:val="00BB61EB"/>
    <w:rsid w:val="00BD0E40"/>
    <w:rsid w:val="00BD730D"/>
    <w:rsid w:val="00BF6EFE"/>
    <w:rsid w:val="00CA1D90"/>
    <w:rsid w:val="00CE1051"/>
    <w:rsid w:val="00D37F0F"/>
    <w:rsid w:val="00D73A32"/>
    <w:rsid w:val="00DA63FB"/>
    <w:rsid w:val="00E15ECF"/>
    <w:rsid w:val="00E20086"/>
    <w:rsid w:val="00E379D0"/>
    <w:rsid w:val="00E57CC7"/>
    <w:rsid w:val="00E601A4"/>
    <w:rsid w:val="00E670AB"/>
    <w:rsid w:val="00EA7292"/>
    <w:rsid w:val="00F17BD7"/>
    <w:rsid w:val="00F53607"/>
    <w:rsid w:val="00F70281"/>
    <w:rsid w:val="00FB29C8"/>
    <w:rsid w:val="00FE53DF"/>
    <w:rsid w:val="00FF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5:chartTrackingRefBased/>
  <w15:docId w15:val="{29DF8FCA-82CD-4113-ABED-EFCE4E92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865"/>
    <w:rPr>
      <w:rFonts w:ascii="Times New Roman" w:eastAsia="Times New Roman" w:hAnsi="Times New Roman"/>
      <w:sz w:val="24"/>
      <w:szCs w:val="24"/>
    </w:rPr>
  </w:style>
  <w:style w:type="paragraph" w:styleId="Heading1">
    <w:name w:val="heading 1"/>
    <w:basedOn w:val="Normal"/>
    <w:next w:val="Normal"/>
    <w:link w:val="Heading1Char"/>
    <w:qFormat/>
    <w:rsid w:val="009D3865"/>
    <w:pPr>
      <w:keepNext/>
      <w:spacing w:line="240" w:lineRule="atLeast"/>
      <w:jc w:val="center"/>
      <w:outlineLvl w:val="0"/>
    </w:pPr>
    <w:rPr>
      <w:rFonts w:ascii="Arial" w:hAnsi="Arial"/>
      <w:b/>
      <w:sz w:val="28"/>
      <w:szCs w:val="20"/>
    </w:rPr>
  </w:style>
  <w:style w:type="paragraph" w:styleId="Heading2">
    <w:name w:val="heading 2"/>
    <w:basedOn w:val="Normal"/>
    <w:next w:val="Normal"/>
    <w:link w:val="Heading2Char"/>
    <w:semiHidden/>
    <w:unhideWhenUsed/>
    <w:qFormat/>
    <w:rsid w:val="009D3865"/>
    <w:pPr>
      <w:keepNext/>
      <w:tabs>
        <w:tab w:val="right" w:pos="7920"/>
      </w:tabs>
      <w:spacing w:line="240" w:lineRule="atLeast"/>
      <w:ind w:left="720"/>
      <w:outlineLvl w:val="1"/>
    </w:pPr>
    <w:rPr>
      <w:rFonts w:ascii="Arial" w:hAnsi="Arial"/>
      <w:b/>
      <w:bCs/>
      <w:sz w:val="20"/>
      <w:szCs w:val="20"/>
    </w:rPr>
  </w:style>
  <w:style w:type="paragraph" w:styleId="Heading3">
    <w:name w:val="heading 3"/>
    <w:basedOn w:val="Normal"/>
    <w:next w:val="Normal"/>
    <w:link w:val="Heading3Char"/>
    <w:semiHidden/>
    <w:unhideWhenUsed/>
    <w:qFormat/>
    <w:rsid w:val="009D3865"/>
    <w:pPr>
      <w:keepNext/>
      <w:spacing w:line="240" w:lineRule="atLeast"/>
      <w:outlineLvl w:val="2"/>
    </w:pPr>
    <w:rPr>
      <w:rFonts w:ascii="Arial" w:hAnsi="Arial"/>
      <w:sz w:val="20"/>
      <w:szCs w:val="20"/>
      <w:u w:val="single"/>
    </w:rPr>
  </w:style>
  <w:style w:type="paragraph" w:styleId="Heading4">
    <w:name w:val="heading 4"/>
    <w:basedOn w:val="Normal"/>
    <w:next w:val="Normal"/>
    <w:link w:val="Heading4Char"/>
    <w:semiHidden/>
    <w:unhideWhenUsed/>
    <w:qFormat/>
    <w:rsid w:val="009D3865"/>
    <w:pPr>
      <w:keepNext/>
      <w:tabs>
        <w:tab w:val="right" w:pos="6120"/>
        <w:tab w:val="right" w:pos="7920"/>
      </w:tabs>
      <w:spacing w:line="240" w:lineRule="atLeast"/>
      <w:outlineLvl w:val="3"/>
    </w:pPr>
    <w:rPr>
      <w:rFonts w:ascii="Arial" w:hAnsi="Arial" w:cs="Arial"/>
      <w:b/>
      <w:bCs/>
    </w:rPr>
  </w:style>
  <w:style w:type="paragraph" w:styleId="Heading5">
    <w:name w:val="heading 5"/>
    <w:basedOn w:val="Normal"/>
    <w:next w:val="Normal"/>
    <w:link w:val="Heading5Char"/>
    <w:semiHidden/>
    <w:unhideWhenUsed/>
    <w:qFormat/>
    <w:rsid w:val="009D3865"/>
    <w:pPr>
      <w:keepNext/>
      <w:spacing w:line="240" w:lineRule="atLeast"/>
      <w:ind w:left="720"/>
      <w:outlineLvl w:val="4"/>
    </w:pPr>
    <w:rPr>
      <w:rFonts w:ascii="Arial"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3865"/>
    <w:rPr>
      <w:rFonts w:ascii="Arial" w:eastAsia="Times New Roman" w:hAnsi="Arial" w:cs="Times New Roman"/>
      <w:b/>
      <w:sz w:val="28"/>
      <w:szCs w:val="20"/>
    </w:rPr>
  </w:style>
  <w:style w:type="character" w:customStyle="1" w:styleId="Heading2Char">
    <w:name w:val="Heading 2 Char"/>
    <w:link w:val="Heading2"/>
    <w:semiHidden/>
    <w:rsid w:val="009D3865"/>
    <w:rPr>
      <w:rFonts w:ascii="Arial" w:eastAsia="Times New Roman" w:hAnsi="Arial" w:cs="Times New Roman"/>
      <w:b/>
      <w:bCs/>
      <w:sz w:val="20"/>
      <w:szCs w:val="20"/>
    </w:rPr>
  </w:style>
  <w:style w:type="character" w:customStyle="1" w:styleId="Heading3Char">
    <w:name w:val="Heading 3 Char"/>
    <w:link w:val="Heading3"/>
    <w:semiHidden/>
    <w:rsid w:val="009D3865"/>
    <w:rPr>
      <w:rFonts w:ascii="Arial" w:eastAsia="Times New Roman" w:hAnsi="Arial" w:cs="Times New Roman"/>
      <w:sz w:val="20"/>
      <w:szCs w:val="20"/>
      <w:u w:val="single"/>
    </w:rPr>
  </w:style>
  <w:style w:type="character" w:customStyle="1" w:styleId="Heading4Char">
    <w:name w:val="Heading 4 Char"/>
    <w:link w:val="Heading4"/>
    <w:semiHidden/>
    <w:rsid w:val="009D3865"/>
    <w:rPr>
      <w:rFonts w:ascii="Arial" w:eastAsia="Times New Roman" w:hAnsi="Arial" w:cs="Arial"/>
      <w:b/>
      <w:bCs/>
      <w:sz w:val="24"/>
      <w:szCs w:val="24"/>
    </w:rPr>
  </w:style>
  <w:style w:type="character" w:customStyle="1" w:styleId="Heading5Char">
    <w:name w:val="Heading 5 Char"/>
    <w:link w:val="Heading5"/>
    <w:semiHidden/>
    <w:rsid w:val="009D3865"/>
    <w:rPr>
      <w:rFonts w:ascii="Arial" w:eastAsia="Times New Roman" w:hAnsi="Arial" w:cs="Times New Roman"/>
      <w:sz w:val="20"/>
      <w:szCs w:val="20"/>
      <w:u w:val="single"/>
    </w:rPr>
  </w:style>
  <w:style w:type="paragraph" w:styleId="Header">
    <w:name w:val="header"/>
    <w:basedOn w:val="Normal"/>
    <w:next w:val="Normal"/>
    <w:link w:val="HeaderChar"/>
    <w:unhideWhenUsed/>
    <w:rsid w:val="009D3865"/>
    <w:pPr>
      <w:tabs>
        <w:tab w:val="center" w:pos="4320"/>
        <w:tab w:val="right" w:pos="8640"/>
      </w:tabs>
    </w:pPr>
    <w:rPr>
      <w:rFonts w:ascii="Tms Rmn" w:hAnsi="Tms Rmn"/>
      <w:sz w:val="20"/>
      <w:szCs w:val="20"/>
    </w:rPr>
  </w:style>
  <w:style w:type="character" w:customStyle="1" w:styleId="HeaderChar">
    <w:name w:val="Header Char"/>
    <w:link w:val="Header"/>
    <w:rsid w:val="009D3865"/>
    <w:rPr>
      <w:rFonts w:ascii="Tms Rmn" w:eastAsia="Times New Roman" w:hAnsi="Tms Rmn" w:cs="Times New Roman"/>
      <w:sz w:val="20"/>
      <w:szCs w:val="20"/>
    </w:rPr>
  </w:style>
  <w:style w:type="paragraph" w:styleId="Footer">
    <w:name w:val="footer"/>
    <w:basedOn w:val="Normal"/>
    <w:link w:val="FooterChar"/>
    <w:uiPriority w:val="99"/>
    <w:unhideWhenUsed/>
    <w:rsid w:val="009D3865"/>
    <w:pPr>
      <w:tabs>
        <w:tab w:val="center" w:pos="4320"/>
        <w:tab w:val="right" w:pos="8640"/>
      </w:tabs>
    </w:pPr>
    <w:rPr>
      <w:rFonts w:ascii="Tms Rmn" w:hAnsi="Tms Rmn"/>
      <w:sz w:val="20"/>
      <w:szCs w:val="20"/>
    </w:rPr>
  </w:style>
  <w:style w:type="character" w:customStyle="1" w:styleId="FooterChar">
    <w:name w:val="Footer Char"/>
    <w:link w:val="Footer"/>
    <w:uiPriority w:val="99"/>
    <w:rsid w:val="009D3865"/>
    <w:rPr>
      <w:rFonts w:ascii="Tms Rmn" w:eastAsia="Times New Roman" w:hAnsi="Tms Rmn" w:cs="Times New Roman"/>
      <w:sz w:val="20"/>
      <w:szCs w:val="20"/>
    </w:rPr>
  </w:style>
  <w:style w:type="paragraph" w:styleId="BodyText">
    <w:name w:val="Body Text"/>
    <w:basedOn w:val="Normal"/>
    <w:link w:val="BodyTextChar"/>
    <w:semiHidden/>
    <w:unhideWhenUsed/>
    <w:rsid w:val="009D3865"/>
    <w:pPr>
      <w:spacing w:line="240" w:lineRule="atLeast"/>
    </w:pPr>
    <w:rPr>
      <w:rFonts w:ascii="Arial" w:hAnsi="Arial"/>
      <w:sz w:val="22"/>
      <w:szCs w:val="20"/>
    </w:rPr>
  </w:style>
  <w:style w:type="character" w:customStyle="1" w:styleId="BodyTextChar">
    <w:name w:val="Body Text Char"/>
    <w:link w:val="BodyText"/>
    <w:semiHidden/>
    <w:rsid w:val="009D3865"/>
    <w:rPr>
      <w:rFonts w:ascii="Arial" w:eastAsia="Times New Roman" w:hAnsi="Arial" w:cs="Times New Roman"/>
      <w:szCs w:val="20"/>
    </w:rPr>
  </w:style>
  <w:style w:type="paragraph" w:styleId="BodyTextIndent">
    <w:name w:val="Body Text Indent"/>
    <w:basedOn w:val="Normal"/>
    <w:link w:val="BodyTextIndentChar"/>
    <w:semiHidden/>
    <w:unhideWhenUsed/>
    <w:rsid w:val="009D3865"/>
    <w:pPr>
      <w:tabs>
        <w:tab w:val="right" w:pos="7920"/>
      </w:tabs>
      <w:spacing w:line="240" w:lineRule="atLeast"/>
      <w:ind w:firstLine="720"/>
    </w:pPr>
    <w:rPr>
      <w:rFonts w:ascii="Arial" w:hAnsi="Arial"/>
      <w:sz w:val="20"/>
      <w:szCs w:val="20"/>
    </w:rPr>
  </w:style>
  <w:style w:type="character" w:customStyle="1" w:styleId="BodyTextIndentChar">
    <w:name w:val="Body Text Indent Char"/>
    <w:link w:val="BodyTextIndent"/>
    <w:semiHidden/>
    <w:rsid w:val="009D3865"/>
    <w:rPr>
      <w:rFonts w:ascii="Arial" w:eastAsia="Times New Roman" w:hAnsi="Arial" w:cs="Times New Roman"/>
      <w:sz w:val="20"/>
      <w:szCs w:val="20"/>
    </w:rPr>
  </w:style>
  <w:style w:type="paragraph" w:styleId="BodyText2">
    <w:name w:val="Body Text 2"/>
    <w:basedOn w:val="Normal"/>
    <w:link w:val="BodyText2Char"/>
    <w:semiHidden/>
    <w:unhideWhenUsed/>
    <w:rsid w:val="009D3865"/>
    <w:pPr>
      <w:spacing w:line="240" w:lineRule="atLeast"/>
    </w:pPr>
    <w:rPr>
      <w:rFonts w:ascii="Arial" w:hAnsi="Arial"/>
      <w:sz w:val="18"/>
      <w:szCs w:val="20"/>
    </w:rPr>
  </w:style>
  <w:style w:type="character" w:customStyle="1" w:styleId="BodyText2Char">
    <w:name w:val="Body Text 2 Char"/>
    <w:link w:val="BodyText2"/>
    <w:semiHidden/>
    <w:rsid w:val="009D3865"/>
    <w:rPr>
      <w:rFonts w:ascii="Arial" w:eastAsia="Times New Roman" w:hAnsi="Arial" w:cs="Times New Roman"/>
      <w:sz w:val="18"/>
      <w:szCs w:val="20"/>
    </w:rPr>
  </w:style>
  <w:style w:type="paragraph" w:customStyle="1" w:styleId="PAParaText">
    <w:name w:val="PA_ParaText"/>
    <w:basedOn w:val="Normal"/>
    <w:rsid w:val="009D3865"/>
    <w:pPr>
      <w:spacing w:after="120"/>
      <w:jc w:val="both"/>
    </w:pPr>
    <w:rPr>
      <w:rFonts w:ascii="Arial" w:eastAsia="SimSun" w:hAnsi="Arial"/>
      <w:sz w:val="20"/>
      <w:szCs w:val="20"/>
      <w:lang w:eastAsia="zh-CN"/>
    </w:rPr>
  </w:style>
  <w:style w:type="character" w:customStyle="1" w:styleId="CLPracticalLink">
    <w:name w:val="CL_PracticalLink"/>
    <w:rsid w:val="009D3865"/>
    <w:rPr>
      <w:vanish/>
      <w:webHidden w:val="0"/>
      <w:color w:val="auto"/>
      <w:u w:val="words" w:color="FFFFFF"/>
      <w:vertAlign w:val="superscript"/>
      <w:specVanish w:val="0"/>
    </w:rPr>
  </w:style>
  <w:style w:type="paragraph" w:styleId="ListParagraph">
    <w:name w:val="List Paragraph"/>
    <w:basedOn w:val="Normal"/>
    <w:uiPriority w:val="34"/>
    <w:qFormat/>
    <w:rsid w:val="00530F50"/>
    <w:pPr>
      <w:ind w:left="720"/>
      <w:contextualSpacing/>
    </w:pPr>
  </w:style>
  <w:style w:type="table" w:styleId="TableGrid">
    <w:name w:val="Table Grid"/>
    <w:basedOn w:val="TableNormal"/>
    <w:uiPriority w:val="59"/>
    <w:rsid w:val="005C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3B2"/>
    <w:rPr>
      <w:rFonts w:ascii="Segoe UI" w:hAnsi="Segoe UI" w:cs="Segoe UI"/>
      <w:sz w:val="18"/>
      <w:szCs w:val="18"/>
    </w:rPr>
  </w:style>
  <w:style w:type="character" w:customStyle="1" w:styleId="BalloonTextChar">
    <w:name w:val="Balloon Text Char"/>
    <w:link w:val="BalloonText"/>
    <w:uiPriority w:val="99"/>
    <w:semiHidden/>
    <w:rsid w:val="000B63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78379">
      <w:bodyDiv w:val="1"/>
      <w:marLeft w:val="0"/>
      <w:marRight w:val="0"/>
      <w:marTop w:val="0"/>
      <w:marBottom w:val="0"/>
      <w:divBdr>
        <w:top w:val="none" w:sz="0" w:space="0" w:color="auto"/>
        <w:left w:val="none" w:sz="0" w:space="0" w:color="auto"/>
        <w:bottom w:val="none" w:sz="0" w:space="0" w:color="auto"/>
        <w:right w:val="none" w:sz="0" w:space="0" w:color="auto"/>
      </w:divBdr>
    </w:div>
    <w:div w:id="15266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51E6-D094-4E4F-A4D2-B118D1B9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Wocken</dc:creator>
  <cp:keywords/>
  <dc:description/>
  <cp:lastModifiedBy>Jeremy Olson</cp:lastModifiedBy>
  <cp:revision>3</cp:revision>
  <cp:lastPrinted>2016-02-22T16:11:00Z</cp:lastPrinted>
  <dcterms:created xsi:type="dcterms:W3CDTF">2019-01-02T15:54:00Z</dcterms:created>
  <dcterms:modified xsi:type="dcterms:W3CDTF">2019-01-02T15:55:00Z</dcterms:modified>
</cp:coreProperties>
</file>