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90"/>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2F5B12" w:rsidRPr="008100F7" w:rsidRDefault="002F5B12" w:rsidP="002F5B12">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rsidR="002F5B12" w:rsidRPr="008100F7" w:rsidRDefault="002F5B12" w:rsidP="002F5B12">
            <w:pPr>
              <w:autoSpaceDE w:val="0"/>
              <w:autoSpaceDN w:val="0"/>
              <w:adjustRightInd w:val="0"/>
              <w:spacing w:after="0"/>
              <w:jc w:val="center"/>
              <w:rPr>
                <w:rFonts w:ascii="Arial" w:eastAsia="Calibri" w:hAnsi="Arial" w:cs="Arial"/>
                <w:sz w:val="24"/>
              </w:rPr>
            </w:pPr>
          </w:p>
          <w:p w:rsidR="002F5B12" w:rsidRPr="008100F7" w:rsidRDefault="002F5B12" w:rsidP="002F5B12">
            <w:pPr>
              <w:autoSpaceDE w:val="0"/>
              <w:autoSpaceDN w:val="0"/>
              <w:adjustRightInd w:val="0"/>
              <w:spacing w:after="0"/>
              <w:jc w:val="center"/>
              <w:rPr>
                <w:rFonts w:ascii="Arial" w:eastAsia="Calibri" w:hAnsi="Arial" w:cs="Arial"/>
                <w:b/>
                <w:sz w:val="24"/>
              </w:rPr>
            </w:pPr>
            <w:r w:rsidRPr="008100F7">
              <w:rPr>
                <w:rFonts w:ascii="Arial" w:eastAsia="Calibri" w:hAnsi="Arial" w:cs="Arial"/>
                <w:b/>
                <w:sz w:val="24"/>
              </w:rPr>
              <w:t xml:space="preserve">the </w:t>
            </w:r>
            <w:r w:rsidR="00A22B8F">
              <w:rPr>
                <w:rFonts w:ascii="Arial" w:eastAsia="Calibri" w:hAnsi="Arial" w:cs="Arial"/>
                <w:b/>
                <w:sz w:val="24"/>
              </w:rPr>
              <w:t>Redetermination of Benefits for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A22B8F">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A22B8F">
              <w:rPr>
                <w:rFonts w:ascii="Arial" w:eastAsia="Calibri" w:hAnsi="Arial" w:cs="Arial"/>
                <w:b/>
                <w:bCs/>
                <w:sz w:val="24"/>
                <w:szCs w:val="24"/>
              </w:rPr>
              <w:t>APPROVING THE REDETERMINATION OF BENEFITS, ACQUIRING GRASS BUFFER, CONFIRMING DAMAGES, AND DIRECTING PAYMENT</w:t>
            </w:r>
          </w:p>
        </w:tc>
      </w:tr>
    </w:tbl>
    <w:p w:rsidR="00D47DC9" w:rsidRPr="00E2374C" w:rsidRDefault="00D47DC9" w:rsidP="00D47DC9">
      <w:pPr>
        <w:autoSpaceDE w:val="0"/>
        <w:autoSpaceDN w:val="0"/>
        <w:adjustRightInd w:val="0"/>
        <w:spacing w:after="0"/>
        <w:rPr>
          <w:rFonts w:ascii="Arial" w:eastAsia="Calibri" w:hAnsi="Arial" w:cs="Arial"/>
          <w:lang w:val="en-CA"/>
        </w:rPr>
      </w:pPr>
    </w:p>
    <w:p w:rsidR="000F480F" w:rsidRPr="000F480F" w:rsidRDefault="000F480F" w:rsidP="000F480F">
      <w:pPr>
        <w:spacing w:after="0"/>
        <w:jc w:val="both"/>
        <w:rPr>
          <w:rFonts w:ascii="Arial" w:hAnsi="Arial" w:cs="Arial"/>
          <w:sz w:val="24"/>
        </w:rPr>
      </w:pPr>
      <w:r w:rsidRPr="000F480F">
        <w:rPr>
          <w:rFonts w:ascii="Arial" w:hAnsi="Arial" w:cs="Arial"/>
          <w:sz w:val="24"/>
        </w:rPr>
        <w:t xml:space="preserve">The &lt;name of drainage authority&gt; Board of &lt;Commissioners/Managers&gt;, sitting as the drainage authority for &lt;name of drainage system&gt;, pursuant to </w:t>
      </w:r>
      <w:r w:rsidRPr="000F480F">
        <w:rPr>
          <w:rFonts w:ascii="Arial" w:eastAsia="Calibri" w:hAnsi="Arial" w:cs="Arial"/>
          <w:sz w:val="24"/>
        </w:rPr>
        <w:t>Minn. Stat. § 103E.</w:t>
      </w:r>
      <w:r w:rsidR="00A22B8F">
        <w:rPr>
          <w:rFonts w:ascii="Arial" w:eastAsia="Calibri" w:hAnsi="Arial" w:cs="Arial"/>
          <w:sz w:val="24"/>
        </w:rPr>
        <w:t>351</w:t>
      </w:r>
      <w:r w:rsidRPr="000F480F">
        <w:rPr>
          <w:rFonts w:ascii="Arial" w:hAnsi="Arial" w:cs="Arial"/>
          <w:sz w:val="24"/>
        </w:rPr>
        <w:t xml:space="preserve">, </w:t>
      </w:r>
      <w:r w:rsidR="00A22B8F">
        <w:rPr>
          <w:rFonts w:ascii="Arial" w:hAnsi="Arial" w:cs="Arial"/>
          <w:sz w:val="24"/>
        </w:rPr>
        <w:t xml:space="preserve">having adopted findings and ordered a redetermination of benefits on &lt;date&gt;; having appointed three viewers to redetermine and report the benefits and damages; having received the viewers’ report; having followed proper notice requirements in Minn. Stat. § 103E.351; and having held a public hearing and followed all requirements of chapter 103E, </w:t>
      </w:r>
      <w:r w:rsidRPr="000F480F">
        <w:rPr>
          <w:rFonts w:ascii="Arial" w:hAnsi="Arial" w:cs="Arial"/>
          <w:sz w:val="24"/>
        </w:rPr>
        <w:t>based on the record and proceedings, &lt;Commissioner/Manager&gt; __________________ moved, seconded by &lt;Commissioner/Manager&gt; __________________ to adopt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0F480F" w:rsidRDefault="000F480F"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authority&gt; is the drainage authority for &lt;name of drainage systems&gt;.</w:t>
      </w:r>
    </w:p>
    <w:p w:rsidR="000F480F" w:rsidRDefault="000F480F" w:rsidP="000F480F">
      <w:pPr>
        <w:autoSpaceDE w:val="0"/>
        <w:autoSpaceDN w:val="0"/>
        <w:adjustRightInd w:val="0"/>
        <w:spacing w:after="0" w:line="240" w:lineRule="auto"/>
        <w:ind w:left="720"/>
        <w:jc w:val="both"/>
        <w:rPr>
          <w:rFonts w:ascii="Arial" w:eastAsia="Times New Roman" w:hAnsi="Arial" w:cs="Arial"/>
          <w:sz w:val="24"/>
          <w:szCs w:val="24"/>
        </w:rPr>
      </w:pPr>
    </w:p>
    <w:p w:rsidR="00A22B8F" w:rsidRPr="00A22B8F" w:rsidRDefault="000F480F" w:rsidP="00A22B8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 </w:t>
      </w:r>
      <w:r w:rsidR="00A22B8F">
        <w:rPr>
          <w:rFonts w:ascii="Arial" w:eastAsia="Times New Roman" w:hAnsi="Arial" w:cs="Arial"/>
          <w:sz w:val="24"/>
          <w:szCs w:val="24"/>
        </w:rPr>
        <w:t xml:space="preserve">On &lt;date&gt;, the drainage authority adopted findings and ordered the initiation of a redetermination of benefits and damages for &lt;name of drainage system&gt; pursuant to Minn. Stat. § 103E.351. &lt;Viewer name&gt;, &lt;Viewer name&gt;, &lt;Viewer name&gt; were appointed as viewers. </w:t>
      </w:r>
    </w:p>
    <w:p w:rsidR="00A22B8F" w:rsidRDefault="00A22B8F" w:rsidP="00A22B8F">
      <w:pPr>
        <w:autoSpaceDE w:val="0"/>
        <w:autoSpaceDN w:val="0"/>
        <w:adjustRightInd w:val="0"/>
        <w:spacing w:after="0" w:line="240" w:lineRule="auto"/>
        <w:ind w:left="720"/>
        <w:jc w:val="both"/>
        <w:rPr>
          <w:rFonts w:ascii="Arial" w:eastAsia="Times New Roman" w:hAnsi="Arial" w:cs="Arial"/>
          <w:sz w:val="24"/>
          <w:szCs w:val="24"/>
        </w:rPr>
      </w:pPr>
    </w:p>
    <w:p w:rsidR="00A22B8F" w:rsidRDefault="00A22B8F" w:rsidP="000F480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&lt;Auditor/Secretary&gt; administered the Viewers’ Oath on &lt;date&gt;. </w:t>
      </w:r>
    </w:p>
    <w:p w:rsidR="00A22B8F" w:rsidRDefault="00A22B8F" w:rsidP="00A22B8F">
      <w:pPr>
        <w:pStyle w:val="ListParagraph"/>
        <w:rPr>
          <w:rFonts w:ascii="Arial" w:eastAsia="Times New Roman" w:hAnsi="Arial" w:cs="Arial"/>
          <w:sz w:val="24"/>
          <w:szCs w:val="24"/>
        </w:rPr>
      </w:pPr>
    </w:p>
    <w:p w:rsidR="008121D5" w:rsidRDefault="00A22B8F" w:rsidP="008121D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The viewers completed their report, which included a benefits and damages statement, on &lt;date&gt;, for all property affected by the drainage system and filed their report with the drainage authority. </w:t>
      </w:r>
    </w:p>
    <w:p w:rsidR="008121D5" w:rsidRPr="008121D5" w:rsidRDefault="008121D5" w:rsidP="008121D5">
      <w:pPr>
        <w:autoSpaceDE w:val="0"/>
        <w:autoSpaceDN w:val="0"/>
        <w:adjustRightInd w:val="0"/>
        <w:spacing w:after="0" w:line="240" w:lineRule="auto"/>
        <w:jc w:val="both"/>
        <w:rPr>
          <w:rFonts w:ascii="Arial" w:eastAsia="Times New Roman" w:hAnsi="Arial" w:cs="Arial"/>
          <w:sz w:val="24"/>
          <w:szCs w:val="24"/>
        </w:rPr>
      </w:pPr>
    </w:p>
    <w:p w:rsidR="00EC6E50" w:rsidRDefault="00A22B8F"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&lt;Auditor/Secretary/Drainage Inspector&gt; under direction from the drainage authority Board, prepared property owners’ reports and mailed them to the owners of property identified in the viewers’ report. </w:t>
      </w:r>
    </w:p>
    <w:p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rsidR="00E76AA8" w:rsidRDefault="00EC6E50"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D04359">
        <w:rPr>
          <w:rFonts w:ascii="Arial" w:eastAsia="Times New Roman" w:hAnsi="Arial" w:cs="Arial"/>
          <w:sz w:val="24"/>
          <w:szCs w:val="24"/>
        </w:rPr>
        <w:t xml:space="preserve">The drainage authority, by order, set a public hearing for review of the </w:t>
      </w:r>
      <w:r w:rsidR="00E76AA8">
        <w:rPr>
          <w:rFonts w:ascii="Arial" w:eastAsia="Times New Roman" w:hAnsi="Arial" w:cs="Arial"/>
          <w:sz w:val="24"/>
          <w:szCs w:val="24"/>
        </w:rPr>
        <w:t>viewers’ report</w:t>
      </w:r>
      <w:r w:rsidRPr="00D04359">
        <w:rPr>
          <w:rFonts w:ascii="Arial" w:eastAsia="Times New Roman" w:hAnsi="Arial" w:cs="Arial"/>
          <w:sz w:val="24"/>
          <w:szCs w:val="24"/>
        </w:rPr>
        <w:t xml:space="preserve"> on &lt;date of order setting hearing&gt;</w:t>
      </w:r>
      <w:r w:rsidR="00E76AA8">
        <w:rPr>
          <w:rFonts w:ascii="Arial" w:eastAsia="Times New Roman" w:hAnsi="Arial" w:cs="Arial"/>
          <w:sz w:val="24"/>
          <w:szCs w:val="24"/>
        </w:rPr>
        <w:t>, which is within 30 days after the property owners’ reports were mailed.</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printed copy of the final hearing notice was posted for at least three weeks before the date of the final hearing at the front door of the courthouse of &lt;name of county(</w:t>
      </w:r>
      <w:proofErr w:type="spellStart"/>
      <w:r>
        <w:rPr>
          <w:rFonts w:ascii="Arial" w:eastAsia="Times New Roman" w:hAnsi="Arial" w:cs="Arial"/>
          <w:sz w:val="24"/>
          <w:szCs w:val="24"/>
        </w:rPr>
        <w:t>ies</w:t>
      </w:r>
      <w:proofErr w:type="spellEnd"/>
      <w:r>
        <w:rPr>
          <w:rFonts w:ascii="Arial" w:eastAsia="Times New Roman" w:hAnsi="Arial" w:cs="Arial"/>
          <w:sz w:val="24"/>
          <w:szCs w:val="24"/>
        </w:rPr>
        <w:t xml:space="preserve">)&gt;. </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final hearing was published in the &lt;name of newspaper&gt; for three successive weeks prior to the hearing.</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P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Within one week after the first publication of the notice, the &lt;auditor/secretary&gt; provided notice by mail of the time and location of the final hearing to the commissioner of natural resources, all property owners, and others affected by the redetermination of benefits and listed in the viewers’ report.</w:t>
      </w:r>
    </w:p>
    <w:p w:rsidR="00D04359" w:rsidRPr="00D04359" w:rsidRDefault="00D04359" w:rsidP="00D04359">
      <w:pPr>
        <w:autoSpaceDE w:val="0"/>
        <w:autoSpaceDN w:val="0"/>
        <w:adjustRightInd w:val="0"/>
        <w:spacing w:after="0" w:line="240" w:lineRule="auto"/>
        <w:jc w:val="both"/>
        <w:rPr>
          <w:rFonts w:ascii="Arial" w:eastAsia="Times New Roman" w:hAnsi="Arial" w:cs="Arial"/>
          <w:sz w:val="24"/>
          <w:szCs w:val="24"/>
        </w:rPr>
      </w:pPr>
    </w:p>
    <w:p w:rsidR="00D04359" w:rsidRDefault="00E76AA8" w:rsidP="00D0435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Proper notice of the redetermination hearing was made in conjunction with Minn. Stat. § 103E.351 requirements and chapters 103E. A record of the notice requirements is on file with the drainage authority.</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Evidence of all actions in this matter, including findings and orders, appointments, oaths, affidavits of mailing, publication, and posting as well as hearing agendas, presentation materials, and recordings are present in the record of proceedings and are incorporated by reference.</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D04359" w:rsidRPr="00E53FD0" w:rsidRDefault="00D04359"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held a public hearing on the </w:t>
      </w:r>
      <w:r w:rsidR="00E76AA8">
        <w:rPr>
          <w:rFonts w:ascii="Arial" w:eastAsia="Times New Roman" w:hAnsi="Arial" w:cs="Arial"/>
          <w:sz w:val="24"/>
          <w:szCs w:val="24"/>
        </w:rPr>
        <w:t>redetermination of benefits</w:t>
      </w:r>
      <w:r>
        <w:rPr>
          <w:rFonts w:ascii="Arial" w:eastAsia="Times New Roman" w:hAnsi="Arial" w:cs="Arial"/>
          <w:sz w:val="24"/>
          <w:szCs w:val="24"/>
        </w:rPr>
        <w:t xml:space="preserve"> on &lt;date&gt; at &lt;time&gt; at &lt;location of meeting&gt;. </w:t>
      </w:r>
    </w:p>
    <w:p w:rsidR="00E53FD0" w:rsidRDefault="00E53FD0" w:rsidP="00D04359">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&lt;name of viewer&gt;, one of the duly appointed viewers, presented the viewers’ report and explained the process of completing the viewers’ report. &lt;Name of viewer&gt; further provided detail of the viewing process and the information used by the viewers to:  (1) verify the boundary of the watershed of the drainage system; (2) verify and confirm the existence of drainage benefit; and (3) </w:t>
      </w:r>
      <w:r>
        <w:rPr>
          <w:rFonts w:ascii="Arial" w:eastAsia="Times New Roman" w:hAnsi="Arial" w:cs="Arial"/>
          <w:sz w:val="24"/>
          <w:szCs w:val="24"/>
        </w:rPr>
        <w:lastRenderedPageBreak/>
        <w:t>determine the economic benefit to lands deriving a drainage benefit from the construction of &lt;name of drainage system&gt;.</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viewers reviewed all property within the drainage areas of the drainage system as part of the redetermination of benefits process. The viewers determined the amount of damages to be paid for the acquisition of property for the establishment of best management practices, including grass strips, necessary to control erosion, sedimentation, improve water quality, or maintain the efficiency of the drainage system as required under Minn. Stat. § 103E.021. The viewers compared sales in the area in arriving at an average sales price used in establishing a payment rate.</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viewers used maps, LiDAR data, and other information, along with visual inspection of the watershed of the drainage system, to determine the boundaries of the benefiting area. </w:t>
      </w:r>
    </w:p>
    <w:p w:rsidR="00E76AA8" w:rsidRPr="00E76AA8" w:rsidRDefault="00E76AA8" w:rsidP="00E76AA8">
      <w:pPr>
        <w:autoSpaceDE w:val="0"/>
        <w:autoSpaceDN w:val="0"/>
        <w:adjustRightInd w:val="0"/>
        <w:spacing w:after="0" w:line="240" w:lineRule="auto"/>
        <w:jc w:val="both"/>
        <w:rPr>
          <w:rFonts w:ascii="Arial" w:eastAsia="Times New Roman" w:hAnsi="Arial" w:cs="Arial"/>
          <w:sz w:val="24"/>
          <w:szCs w:val="24"/>
        </w:rPr>
      </w:pPr>
    </w:p>
    <w:p w:rsidR="00E76AA8" w:rsidRPr="006D0436" w:rsidRDefault="00E76AA8" w:rsidP="006D0436">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Within the watershed of the drainage system, the viewers paid particular attention to altered land use and drainage alterations which facilitate the removal of water from property directing it to the drainage system.</w:t>
      </w:r>
    </w:p>
    <w:p w:rsidR="00925D1D" w:rsidRDefault="00925D1D" w:rsidP="00D04359">
      <w:pPr>
        <w:autoSpaceDE w:val="0"/>
        <w:autoSpaceDN w:val="0"/>
        <w:adjustRightInd w:val="0"/>
        <w:spacing w:after="0" w:line="240" w:lineRule="auto"/>
        <w:jc w:val="both"/>
        <w:rPr>
          <w:rFonts w:ascii="Arial" w:eastAsia="Times New Roman" w:hAnsi="Arial" w:cs="Arial"/>
          <w:sz w:val="24"/>
          <w:szCs w:val="24"/>
        </w:rPr>
      </w:pPr>
    </w:p>
    <w:p w:rsidR="00E76AA8" w:rsidRPr="00E76AA8" w:rsidRDefault="00E76AA8" w:rsidP="00E76AA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To determine the economic benefit to lands deriving a drainage benefit from the drainage system, the viewers conducted a condition comparison comparing </w:t>
      </w:r>
      <w:r w:rsidR="00052F50">
        <w:rPr>
          <w:rFonts w:ascii="Arial" w:eastAsia="Times New Roman" w:hAnsi="Arial" w:cs="Arial"/>
          <w:sz w:val="24"/>
          <w:szCs w:val="24"/>
        </w:rPr>
        <w:t xml:space="preserve">the expected, pre-ditch, unaltered state of the watershed to the existing, altered and improved condition of the watershed. The viewers used this comparison in determining the increased market value of the properties receiving a direct drainage benefit. </w:t>
      </w:r>
    </w:p>
    <w:p w:rsidR="00E76AA8" w:rsidRDefault="00E76AA8" w:rsidP="00E76AA8">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Based on their detailed observations, the viewers determined benefit classifications, classified acres, and assigned economic benefit on a per acre basis.</w:t>
      </w:r>
    </w:p>
    <w:p w:rsid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viewers determined that some acres within the watershed of the drainage system, i.e. existing wetlands and non-contributing basins, received no benefit from the drainage system.</w:t>
      </w:r>
    </w:p>
    <w:p w:rsid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viewers accounted for the efficiency of the drainage system, as designed, and the proximity of lands to and the elevations of lands above the ditch.</w:t>
      </w:r>
    </w:p>
    <w:p w:rsid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viewers applied an economic analysis using sales and income approaches to determine the increased value to each classification acre based on the drainage benefit provided by the drainage system.</w:t>
      </w:r>
    </w:p>
    <w:p w:rsidR="00052F50" w:rsidRDefault="00052F50" w:rsidP="00052F50">
      <w:pPr>
        <w:pStyle w:val="ListParagraph"/>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lastRenderedPageBreak/>
        <w:t>The viewers determined the amount of economic benefit to property benefited immediately by the drainage system, or for property for which the drainage system can become an outlet for drainage, make an outlet more accessible, or otherwise directly benefit the property.</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 xml:space="preserve">The viewers determined economic benefits based on:  (1) an increase in the current market value of the property as a result of constructing the project; (2) an increase in the potential for agricultural production as a result of constructing the project; or (3) an increased value of the property as a result of potential different land use.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 xml:space="preserve">Within the watershed of the drainage system, the viewers determined benefits on property that are responsible for increased drainage system maintenance, or increased drainage system capacity because the natural drainage on the property has been altered or modified to accelerate the drainage of water from the property.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 xml:space="preserve">The viewers kept an accurate account of all time engaged in viewing and examination; the nature and kind of work performed; the days each viewer was engaged in said work; the amount charged per day by each viewer; and every item of expense incurred by the viewers in said work.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 xml:space="preserve">The viewers’ account of work has been filed with the drainage authority.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 xml:space="preserve">The viewers included, in their determinations, the amount of damages necessary to acquire and establish a one-rod grass buffer strip along all reaches of open ditch on &lt;name of drainage system&gt;.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052F50">
        <w:rPr>
          <w:rFonts w:ascii="Arial" w:hAnsi="Arial" w:cs="Arial"/>
          <w:sz w:val="24"/>
          <w:szCs w:val="24"/>
        </w:rPr>
        <w:t>The viewers, in the viewers’ report, recommended the following parcels be split for benefits:</w:t>
      </w:r>
    </w:p>
    <w:p w:rsidR="00052F50" w:rsidRDefault="00052F50" w:rsidP="00052F50">
      <w:pPr>
        <w:autoSpaceDE w:val="0"/>
        <w:autoSpaceDN w:val="0"/>
        <w:adjustRightInd w:val="0"/>
        <w:spacing w:after="0" w:line="240" w:lineRule="auto"/>
        <w:ind w:left="1440"/>
        <w:jc w:val="both"/>
        <w:rPr>
          <w:rFonts w:ascii="Arial" w:eastAsia="Times New Roman" w:hAnsi="Arial" w:cs="Arial"/>
          <w:sz w:val="24"/>
          <w:szCs w:val="24"/>
        </w:rPr>
      </w:pPr>
    </w:p>
    <w:p w:rsidR="00052F50" w:rsidRDefault="00052F50" w:rsidP="00052F50">
      <w:pPr>
        <w:numPr>
          <w:ilvl w:val="1"/>
          <w:numId w:val="2"/>
        </w:numPr>
        <w:autoSpaceDE w:val="0"/>
        <w:autoSpaceDN w:val="0"/>
        <w:adjustRightInd w:val="0"/>
        <w:spacing w:after="0" w:line="240" w:lineRule="auto"/>
        <w:jc w:val="both"/>
        <w:rPr>
          <w:rFonts w:ascii="Arial" w:eastAsia="Times New Roman" w:hAnsi="Arial" w:cs="Arial"/>
          <w:sz w:val="24"/>
          <w:szCs w:val="24"/>
        </w:rPr>
      </w:pPr>
      <w:r w:rsidRPr="00052F50">
        <w:rPr>
          <w:rFonts w:ascii="Arial" w:eastAsia="Times New Roman" w:hAnsi="Arial" w:cs="Arial"/>
          <w:sz w:val="24"/>
          <w:szCs w:val="24"/>
        </w:rPr>
        <w:t>&lt;describe all recommended parcel splits, if any&gt;</w:t>
      </w:r>
    </w:p>
    <w:p w:rsid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8"/>
          <w:szCs w:val="24"/>
        </w:rPr>
      </w:pPr>
      <w:r w:rsidRPr="00052F50">
        <w:rPr>
          <w:rFonts w:ascii="Arial" w:hAnsi="Arial" w:cs="Arial"/>
          <w:sz w:val="24"/>
        </w:rPr>
        <w:t xml:space="preserve">Upon review of information provided to the Board during the public hearing, the Board further finds and confirms its earlier findings that the benefits and damages determined in the original proceedings, as well as the benefited and damaged areas determined in the original proceedings, do not reflect current, existing, actual benefits and benefitted areas.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8"/>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8"/>
          <w:szCs w:val="24"/>
        </w:rPr>
      </w:pPr>
      <w:r w:rsidRPr="00052F50">
        <w:rPr>
          <w:rFonts w:ascii="Arial" w:hAnsi="Arial" w:cs="Arial"/>
          <w:sz w:val="24"/>
        </w:rPr>
        <w:t xml:space="preserve">The viewers’ report is attached as </w:t>
      </w:r>
      <w:r w:rsidRPr="00052F50">
        <w:rPr>
          <w:rFonts w:ascii="Arial" w:hAnsi="Arial" w:cs="Arial"/>
          <w:b/>
          <w:sz w:val="24"/>
        </w:rPr>
        <w:t>Exhibit A</w:t>
      </w:r>
      <w:r w:rsidRPr="00052F50">
        <w:rPr>
          <w:rFonts w:ascii="Arial" w:hAnsi="Arial" w:cs="Arial"/>
          <w:sz w:val="24"/>
        </w:rPr>
        <w:t xml:space="preserve">.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8"/>
          <w:szCs w:val="24"/>
        </w:rPr>
      </w:pPr>
    </w:p>
    <w:p w:rsidR="00052F50" w:rsidRPr="00052F50" w:rsidRDefault="00052F50" w:rsidP="00052F50">
      <w:pPr>
        <w:numPr>
          <w:ilvl w:val="0"/>
          <w:numId w:val="2"/>
        </w:numPr>
        <w:autoSpaceDE w:val="0"/>
        <w:autoSpaceDN w:val="0"/>
        <w:adjustRightInd w:val="0"/>
        <w:spacing w:after="0" w:line="240" w:lineRule="auto"/>
        <w:ind w:hanging="720"/>
        <w:jc w:val="both"/>
        <w:rPr>
          <w:rFonts w:ascii="Arial" w:eastAsia="Times New Roman" w:hAnsi="Arial" w:cs="Arial"/>
          <w:sz w:val="28"/>
          <w:szCs w:val="24"/>
        </w:rPr>
      </w:pPr>
      <w:r w:rsidRPr="00052F50">
        <w:rPr>
          <w:rFonts w:ascii="Arial" w:hAnsi="Arial" w:cs="Arial"/>
          <w:sz w:val="24"/>
        </w:rPr>
        <w:t xml:space="preserve">The benefits and damages statement is attached as </w:t>
      </w:r>
      <w:r w:rsidRPr="00052F50">
        <w:rPr>
          <w:rFonts w:ascii="Arial" w:hAnsi="Arial" w:cs="Arial"/>
          <w:b/>
          <w:sz w:val="24"/>
        </w:rPr>
        <w:t>Exhibit B</w:t>
      </w:r>
      <w:r w:rsidRPr="00052F50">
        <w:rPr>
          <w:rFonts w:ascii="Arial" w:hAnsi="Arial" w:cs="Arial"/>
          <w:sz w:val="24"/>
        </w:rPr>
        <w:t xml:space="preserve">. </w:t>
      </w:r>
    </w:p>
    <w:p w:rsidR="00052F50" w:rsidRP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052F50" w:rsidRDefault="00052F50" w:rsidP="00052F50">
      <w:pPr>
        <w:autoSpaceDE w:val="0"/>
        <w:autoSpaceDN w:val="0"/>
        <w:adjustRightInd w:val="0"/>
        <w:spacing w:after="0" w:line="240" w:lineRule="auto"/>
        <w:ind w:left="720"/>
        <w:jc w:val="both"/>
        <w:rPr>
          <w:rFonts w:ascii="Arial" w:eastAsia="Times New Roman" w:hAnsi="Arial" w:cs="Arial"/>
          <w:sz w:val="24"/>
          <w:szCs w:val="24"/>
        </w:rPr>
      </w:pPr>
    </w:p>
    <w:p w:rsidR="00925D1D" w:rsidRDefault="00925D1D" w:rsidP="00925D1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rsidR="00925D1D" w:rsidRPr="00925D1D" w:rsidRDefault="00925D1D" w:rsidP="00925D1D">
      <w:pPr>
        <w:autoSpaceDE w:val="0"/>
        <w:autoSpaceDN w:val="0"/>
        <w:adjustRightInd w:val="0"/>
        <w:spacing w:after="0" w:line="240" w:lineRule="auto"/>
        <w:jc w:val="both"/>
        <w:rPr>
          <w:rFonts w:ascii="Arial" w:eastAsia="Times New Roman" w:hAnsi="Arial" w:cs="Arial"/>
          <w:sz w:val="24"/>
          <w:szCs w:val="24"/>
        </w:rPr>
      </w:pPr>
    </w:p>
    <w:p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rsidR="00925D1D" w:rsidRDefault="00925D1D" w:rsidP="00925D1D">
      <w:pPr>
        <w:pStyle w:val="ListParagraph"/>
        <w:spacing w:after="0" w:line="240" w:lineRule="auto"/>
        <w:ind w:left="1440"/>
        <w:jc w:val="both"/>
        <w:rPr>
          <w:rFonts w:ascii="Arial" w:hAnsi="Arial" w:cs="Arial"/>
          <w:sz w:val="24"/>
        </w:rPr>
      </w:pPr>
    </w:p>
    <w:p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rsidR="00925D1D" w:rsidRDefault="00925D1D" w:rsidP="00925D1D">
      <w:pPr>
        <w:pStyle w:val="ListParagraph"/>
        <w:spacing w:after="0" w:line="240" w:lineRule="auto"/>
        <w:ind w:left="1440"/>
        <w:jc w:val="both"/>
        <w:rPr>
          <w:rFonts w:ascii="Arial" w:hAnsi="Arial" w:cs="Arial"/>
          <w:sz w:val="24"/>
        </w:rPr>
      </w:pPr>
    </w:p>
    <w:p w:rsidR="00052F50" w:rsidRDefault="00925D1D" w:rsidP="00052F50">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052F50" w:rsidRDefault="00052F50" w:rsidP="00052F50">
      <w:pPr>
        <w:spacing w:after="0" w:line="240" w:lineRule="auto"/>
        <w:jc w:val="both"/>
      </w:pPr>
    </w:p>
    <w:p w:rsidR="008E4F83" w:rsidRPr="008E4F83" w:rsidRDefault="00052F50" w:rsidP="008E4F83">
      <w:pPr>
        <w:pStyle w:val="ListParagraph"/>
        <w:numPr>
          <w:ilvl w:val="0"/>
          <w:numId w:val="2"/>
        </w:numPr>
        <w:spacing w:after="0" w:line="240" w:lineRule="auto"/>
        <w:ind w:hanging="720"/>
        <w:jc w:val="both"/>
        <w:rPr>
          <w:rFonts w:ascii="Arial" w:hAnsi="Arial" w:cs="Arial"/>
          <w:sz w:val="28"/>
        </w:rPr>
      </w:pPr>
      <w:r w:rsidRPr="00052F50">
        <w:rPr>
          <w:rFonts w:ascii="Arial" w:hAnsi="Arial" w:cs="Arial"/>
          <w:sz w:val="24"/>
        </w:rPr>
        <w:t xml:space="preserve">At the close of the public comment hearing, </w:t>
      </w:r>
      <w:r>
        <w:rPr>
          <w:rFonts w:ascii="Arial" w:hAnsi="Arial" w:cs="Arial"/>
          <w:sz w:val="24"/>
        </w:rPr>
        <w:t>&lt;</w:t>
      </w:r>
      <w:r w:rsidRPr="00052F50">
        <w:rPr>
          <w:rFonts w:ascii="Arial" w:hAnsi="Arial" w:cs="Arial"/>
          <w:sz w:val="24"/>
        </w:rPr>
        <w:t>Commissioner</w:t>
      </w:r>
      <w:r>
        <w:rPr>
          <w:rFonts w:ascii="Arial" w:hAnsi="Arial" w:cs="Arial"/>
          <w:sz w:val="24"/>
        </w:rPr>
        <w:t>/Manager&gt;</w:t>
      </w:r>
      <w:r w:rsidRPr="00052F50">
        <w:rPr>
          <w:rFonts w:ascii="Arial" w:hAnsi="Arial" w:cs="Arial"/>
          <w:sz w:val="24"/>
        </w:rPr>
        <w:t xml:space="preserve"> _______________ moved to direct staff to prepare Findings and an Order consistent with the proceedings, including all comments received through the public comment process; that the draft Findings and Order be written to confirm the redetermined benefits and damages as reported by the viewers, affect the acquisition of the proposed grass buffer areas, confirm the damages as presented, direct payments of the damages, and direct recording of the Order to reflect the acquisition; and that the Board recess the hearing to the Board’s regular meeting on </w:t>
      </w:r>
      <w:r w:rsidR="008E4F83">
        <w:rPr>
          <w:rFonts w:ascii="Arial" w:hAnsi="Arial" w:cs="Arial"/>
          <w:sz w:val="24"/>
        </w:rPr>
        <w:t>&lt;date&gt;</w:t>
      </w:r>
      <w:r w:rsidRPr="00052F50">
        <w:rPr>
          <w:rFonts w:ascii="Arial" w:hAnsi="Arial" w:cs="Arial"/>
          <w:sz w:val="24"/>
        </w:rPr>
        <w:t xml:space="preserve"> at which meeting the Board will consider Findings and Order Approving the Redetermination of Benefits, Acquiring Grass Buffer, Confirming Damages, and Directing Payment. Commissioner ____________________ seconded and the motion carried. </w:t>
      </w:r>
    </w:p>
    <w:p w:rsidR="008E4F83" w:rsidRPr="008E4F83" w:rsidRDefault="008E4F83" w:rsidP="008E4F83">
      <w:pPr>
        <w:pStyle w:val="ListParagraph"/>
        <w:spacing w:after="0" w:line="240" w:lineRule="auto"/>
        <w:jc w:val="both"/>
        <w:rPr>
          <w:rFonts w:ascii="Arial" w:hAnsi="Arial" w:cs="Arial"/>
          <w:sz w:val="28"/>
        </w:rPr>
      </w:pPr>
    </w:p>
    <w:p w:rsidR="008E4F83" w:rsidRPr="008E4F83" w:rsidRDefault="008E4F83" w:rsidP="008E4F83">
      <w:pPr>
        <w:pStyle w:val="ListParagraph"/>
        <w:numPr>
          <w:ilvl w:val="0"/>
          <w:numId w:val="2"/>
        </w:numPr>
        <w:spacing w:after="0" w:line="240" w:lineRule="auto"/>
        <w:ind w:hanging="720"/>
        <w:jc w:val="both"/>
        <w:rPr>
          <w:rFonts w:ascii="Arial" w:hAnsi="Arial" w:cs="Arial"/>
          <w:sz w:val="24"/>
        </w:rPr>
      </w:pPr>
      <w:r w:rsidRPr="008E4F83">
        <w:rPr>
          <w:rFonts w:ascii="Arial" w:hAnsi="Arial" w:cs="Arial"/>
          <w:sz w:val="24"/>
        </w:rPr>
        <w:t>Based on the proceedings herein, the evidence presented during the pendency of these proceedings, the testimony of the viewers, and the public comments received, the Board finds:</w:t>
      </w:r>
    </w:p>
    <w:p w:rsidR="008E4F83" w:rsidRPr="008E4F83" w:rsidRDefault="008E4F83" w:rsidP="008E4F83">
      <w:pPr>
        <w:pStyle w:val="ListParagraph"/>
        <w:rPr>
          <w:rFonts w:ascii="Arial" w:hAnsi="Arial" w:cs="Arial"/>
          <w:sz w:val="24"/>
        </w:rPr>
      </w:pPr>
    </w:p>
    <w:p w:rsidR="008E4F83" w:rsidRPr="008E4F83" w:rsidRDefault="008E4F83" w:rsidP="008E4F83">
      <w:pPr>
        <w:pStyle w:val="ListParagraph"/>
        <w:numPr>
          <w:ilvl w:val="1"/>
          <w:numId w:val="2"/>
        </w:numPr>
        <w:spacing w:after="0" w:line="240" w:lineRule="auto"/>
        <w:ind w:hanging="720"/>
        <w:jc w:val="both"/>
        <w:rPr>
          <w:rFonts w:ascii="Arial" w:hAnsi="Arial" w:cs="Arial"/>
          <w:sz w:val="24"/>
        </w:rPr>
      </w:pPr>
      <w:r w:rsidRPr="008E4F83">
        <w:rPr>
          <w:rFonts w:ascii="Arial" w:hAnsi="Arial" w:cs="Arial"/>
          <w:sz w:val="24"/>
        </w:rPr>
        <w:t xml:space="preserve">that the viewers’ report has been made and other proceedings have been completed under Minnesota Statutes, chapter 103E; </w:t>
      </w:r>
    </w:p>
    <w:p w:rsidR="008E4F83" w:rsidRPr="008E4F83" w:rsidRDefault="008E4F83" w:rsidP="008E4F83">
      <w:pPr>
        <w:pStyle w:val="ListParagraph"/>
        <w:spacing w:after="0"/>
        <w:ind w:left="1440" w:hanging="720"/>
        <w:jc w:val="both"/>
        <w:rPr>
          <w:rFonts w:ascii="Arial" w:hAnsi="Arial" w:cs="Arial"/>
          <w:sz w:val="24"/>
        </w:rPr>
      </w:pPr>
    </w:p>
    <w:p w:rsidR="008E4F83" w:rsidRPr="008E4F83" w:rsidRDefault="008E4F83" w:rsidP="008E4F83">
      <w:pPr>
        <w:pStyle w:val="ListParagraph"/>
        <w:numPr>
          <w:ilvl w:val="1"/>
          <w:numId w:val="2"/>
        </w:numPr>
        <w:spacing w:after="0" w:line="240" w:lineRule="auto"/>
        <w:ind w:hanging="720"/>
        <w:jc w:val="both"/>
        <w:rPr>
          <w:rFonts w:ascii="Arial" w:hAnsi="Arial" w:cs="Arial"/>
          <w:sz w:val="24"/>
        </w:rPr>
      </w:pPr>
      <w:r w:rsidRPr="008E4F83">
        <w:rPr>
          <w:rFonts w:ascii="Arial" w:hAnsi="Arial" w:cs="Arial"/>
          <w:sz w:val="24"/>
        </w:rPr>
        <w:t>that the viewers’ report is complete and correct;</w:t>
      </w:r>
    </w:p>
    <w:p w:rsidR="008E4F83" w:rsidRPr="008E4F83" w:rsidRDefault="008E4F83" w:rsidP="008E4F83">
      <w:pPr>
        <w:spacing w:after="0"/>
        <w:ind w:hanging="720"/>
        <w:jc w:val="both"/>
        <w:rPr>
          <w:rFonts w:ascii="Arial" w:hAnsi="Arial" w:cs="Arial"/>
          <w:sz w:val="24"/>
        </w:rPr>
      </w:pPr>
    </w:p>
    <w:p w:rsidR="008E4F83" w:rsidRPr="008E4F83" w:rsidRDefault="008E4F83" w:rsidP="008E4F83">
      <w:pPr>
        <w:pStyle w:val="ListParagraph"/>
        <w:numPr>
          <w:ilvl w:val="1"/>
          <w:numId w:val="2"/>
        </w:numPr>
        <w:spacing w:after="0" w:line="240" w:lineRule="auto"/>
        <w:ind w:hanging="720"/>
        <w:jc w:val="both"/>
        <w:rPr>
          <w:rFonts w:ascii="Arial" w:hAnsi="Arial" w:cs="Arial"/>
          <w:sz w:val="24"/>
        </w:rPr>
      </w:pPr>
      <w:r>
        <w:rPr>
          <w:rFonts w:ascii="Arial" w:hAnsi="Arial" w:cs="Arial"/>
          <w:sz w:val="24"/>
        </w:rPr>
        <w:lastRenderedPageBreak/>
        <w:t>&lt;</w:t>
      </w:r>
      <w:r w:rsidRPr="008E4F83">
        <w:rPr>
          <w:rFonts w:ascii="Arial" w:hAnsi="Arial" w:cs="Arial"/>
          <w:sz w:val="24"/>
        </w:rPr>
        <w:t xml:space="preserve">that no evidence was presented in opposition to the benefits and damages determined by the </w:t>
      </w:r>
      <w:r>
        <w:rPr>
          <w:rFonts w:ascii="Arial" w:hAnsi="Arial" w:cs="Arial"/>
          <w:sz w:val="24"/>
        </w:rPr>
        <w:t>viewers in the viewers’ report;&gt;</w:t>
      </w:r>
    </w:p>
    <w:p w:rsidR="008E4F83" w:rsidRPr="008E4F83" w:rsidRDefault="008E4F83" w:rsidP="008E4F83">
      <w:pPr>
        <w:pStyle w:val="ListParagraph"/>
        <w:ind w:hanging="720"/>
        <w:jc w:val="both"/>
        <w:rPr>
          <w:rFonts w:ascii="Arial" w:hAnsi="Arial" w:cs="Arial"/>
          <w:sz w:val="24"/>
        </w:rPr>
      </w:pPr>
    </w:p>
    <w:p w:rsidR="008E4F83" w:rsidRPr="008E4F83" w:rsidRDefault="008E4F83" w:rsidP="008E4F83">
      <w:pPr>
        <w:pStyle w:val="ListParagraph"/>
        <w:numPr>
          <w:ilvl w:val="1"/>
          <w:numId w:val="2"/>
        </w:numPr>
        <w:spacing w:after="0" w:line="240" w:lineRule="auto"/>
        <w:ind w:hanging="720"/>
        <w:jc w:val="both"/>
        <w:rPr>
          <w:rFonts w:ascii="Arial" w:hAnsi="Arial" w:cs="Arial"/>
          <w:sz w:val="24"/>
        </w:rPr>
      </w:pPr>
      <w:r w:rsidRPr="008E4F83">
        <w:rPr>
          <w:rFonts w:ascii="Arial" w:hAnsi="Arial" w:cs="Arial"/>
          <w:sz w:val="24"/>
        </w:rPr>
        <w:t xml:space="preserve">that the redetermined benefits and damages, as reflected in the viewers’ report as </w:t>
      </w:r>
      <w:r w:rsidRPr="008E4F83">
        <w:rPr>
          <w:rFonts w:ascii="Arial" w:hAnsi="Arial" w:cs="Arial"/>
          <w:b/>
          <w:sz w:val="24"/>
        </w:rPr>
        <w:t>Exhibit A</w:t>
      </w:r>
      <w:r w:rsidRPr="008E4F83">
        <w:rPr>
          <w:rFonts w:ascii="Arial" w:hAnsi="Arial" w:cs="Arial"/>
          <w:sz w:val="24"/>
        </w:rPr>
        <w:t xml:space="preserve">, and as described in the benefits and damages statement as </w:t>
      </w:r>
      <w:r w:rsidRPr="008E4F83">
        <w:rPr>
          <w:rFonts w:ascii="Arial" w:hAnsi="Arial" w:cs="Arial"/>
          <w:b/>
          <w:sz w:val="24"/>
        </w:rPr>
        <w:t>Exhibit B</w:t>
      </w:r>
      <w:r w:rsidRPr="008E4F83">
        <w:rPr>
          <w:rFonts w:ascii="Arial" w:hAnsi="Arial" w:cs="Arial"/>
          <w:sz w:val="24"/>
        </w:rPr>
        <w:t>, are proper, reasonable, and conform to the drainage code; and</w:t>
      </w:r>
    </w:p>
    <w:p w:rsidR="008E4F83" w:rsidRPr="008E4F83" w:rsidRDefault="008E4F83" w:rsidP="008E4F83">
      <w:pPr>
        <w:pStyle w:val="ListParagraph"/>
        <w:ind w:hanging="720"/>
        <w:rPr>
          <w:rFonts w:ascii="Arial" w:hAnsi="Arial" w:cs="Arial"/>
          <w:sz w:val="24"/>
        </w:rPr>
      </w:pPr>
    </w:p>
    <w:p w:rsidR="008E4F83" w:rsidRPr="008E4F83" w:rsidRDefault="008E4F83" w:rsidP="008E4F83">
      <w:pPr>
        <w:pStyle w:val="ListParagraph"/>
        <w:numPr>
          <w:ilvl w:val="1"/>
          <w:numId w:val="2"/>
        </w:numPr>
        <w:spacing w:after="0" w:line="240" w:lineRule="auto"/>
        <w:ind w:hanging="720"/>
        <w:jc w:val="both"/>
        <w:rPr>
          <w:rFonts w:ascii="Arial" w:hAnsi="Arial" w:cs="Arial"/>
          <w:sz w:val="24"/>
        </w:rPr>
      </w:pPr>
      <w:r w:rsidRPr="008E4F83">
        <w:rPr>
          <w:rFonts w:ascii="Arial" w:hAnsi="Arial" w:cs="Arial"/>
          <w:sz w:val="24"/>
        </w:rPr>
        <w:t>that the acquisition of grass buffer strips as reported as damages in the viewers’ report is necessary under Minn. Stat. § 103E.021.</w:t>
      </w:r>
    </w:p>
    <w:p w:rsidR="008E4F83" w:rsidRPr="008E4F83" w:rsidRDefault="008E4F83" w:rsidP="008E4F83">
      <w:pPr>
        <w:pStyle w:val="ListParagraph"/>
        <w:spacing w:after="0" w:line="240" w:lineRule="auto"/>
        <w:jc w:val="both"/>
        <w:rPr>
          <w:rFonts w:ascii="Arial" w:hAnsi="Arial" w:cs="Arial"/>
          <w:sz w:val="28"/>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redetermined benefits of </w:t>
      </w:r>
      <w:r>
        <w:rPr>
          <w:rFonts w:ascii="Arial" w:hAnsi="Arial" w:cs="Arial"/>
          <w:sz w:val="24"/>
          <w:szCs w:val="24"/>
        </w:rPr>
        <w:t>&lt;name of drainage system&gt;</w:t>
      </w:r>
      <w:r w:rsidRPr="008E4F83">
        <w:rPr>
          <w:rFonts w:ascii="Arial" w:hAnsi="Arial" w:cs="Arial"/>
          <w:sz w:val="24"/>
          <w:szCs w:val="24"/>
        </w:rPr>
        <w:t xml:space="preserve">, </w:t>
      </w:r>
      <w:r>
        <w:rPr>
          <w:rFonts w:ascii="Arial" w:hAnsi="Arial" w:cs="Arial"/>
          <w:sz w:val="24"/>
          <w:szCs w:val="24"/>
        </w:rPr>
        <w:t>&lt;</w:t>
      </w:r>
      <w:r w:rsidRPr="008E4F83">
        <w:rPr>
          <w:rFonts w:ascii="Arial" w:hAnsi="Arial" w:cs="Arial"/>
          <w:sz w:val="24"/>
          <w:szCs w:val="24"/>
        </w:rPr>
        <w:t>including the recommended parcel splits</w:t>
      </w:r>
      <w:r>
        <w:rPr>
          <w:rFonts w:ascii="Arial" w:hAnsi="Arial" w:cs="Arial"/>
          <w:sz w:val="24"/>
          <w:szCs w:val="24"/>
        </w:rPr>
        <w:t>&gt;</w:t>
      </w:r>
      <w:r w:rsidRPr="008E4F83">
        <w:rPr>
          <w:rFonts w:ascii="Arial" w:hAnsi="Arial" w:cs="Arial"/>
          <w:sz w:val="24"/>
          <w:szCs w:val="24"/>
        </w:rPr>
        <w:t xml:space="preserve">, the viewers’ report attached hereto as </w:t>
      </w:r>
      <w:r w:rsidRPr="008E4F83">
        <w:rPr>
          <w:rFonts w:ascii="Arial" w:hAnsi="Arial" w:cs="Arial"/>
          <w:b/>
          <w:sz w:val="24"/>
          <w:szCs w:val="24"/>
        </w:rPr>
        <w:t>Exhibit A</w:t>
      </w:r>
      <w:r w:rsidRPr="008E4F83">
        <w:rPr>
          <w:rFonts w:ascii="Arial" w:hAnsi="Arial" w:cs="Arial"/>
          <w:sz w:val="24"/>
          <w:szCs w:val="24"/>
        </w:rPr>
        <w:t xml:space="preserve">, and the benefits and damages statement attached hereto as </w:t>
      </w:r>
      <w:r w:rsidRPr="008E4F83">
        <w:rPr>
          <w:rFonts w:ascii="Arial" w:hAnsi="Arial" w:cs="Arial"/>
          <w:b/>
          <w:sz w:val="24"/>
          <w:szCs w:val="24"/>
        </w:rPr>
        <w:t>Exhibit B</w:t>
      </w:r>
      <w:r w:rsidRPr="008E4F83">
        <w:rPr>
          <w:rFonts w:ascii="Arial" w:hAnsi="Arial" w:cs="Arial"/>
          <w:sz w:val="24"/>
          <w:szCs w:val="24"/>
        </w:rPr>
        <w:t xml:space="preserve"> are hereby adopted by the Board and shall be used in place of the original benefits and damages in all subsequent proceedings.</w:t>
      </w:r>
    </w:p>
    <w:p w:rsidR="008E4F83" w:rsidRPr="008E4F83" w:rsidRDefault="008E4F83" w:rsidP="008E4F83">
      <w:pPr>
        <w:pStyle w:val="ListParagraph"/>
        <w:spacing w:after="0"/>
        <w:ind w:hanging="720"/>
        <w:jc w:val="both"/>
        <w:rPr>
          <w:rFonts w:ascii="Arial"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viewers are allowed payment of their account of work. </w:t>
      </w:r>
    </w:p>
    <w:p w:rsidR="008E4F83" w:rsidRPr="008E4F83" w:rsidRDefault="008E4F83" w:rsidP="008E4F83">
      <w:pPr>
        <w:pStyle w:val="ListParagraph"/>
        <w:spacing w:after="0"/>
        <w:ind w:hanging="720"/>
        <w:jc w:val="both"/>
        <w:rPr>
          <w:rFonts w:ascii="Arial"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w:t>
      </w:r>
      <w:r>
        <w:rPr>
          <w:rFonts w:ascii="Arial" w:hAnsi="Arial" w:cs="Arial"/>
          <w:sz w:val="24"/>
          <w:szCs w:val="24"/>
        </w:rPr>
        <w:t>&lt;</w:t>
      </w:r>
      <w:r w:rsidRPr="008E4F83">
        <w:rPr>
          <w:rFonts w:ascii="Arial" w:hAnsi="Arial" w:cs="Arial"/>
          <w:sz w:val="24"/>
          <w:szCs w:val="24"/>
        </w:rPr>
        <w:t>County Auditor</w:t>
      </w:r>
      <w:r>
        <w:rPr>
          <w:rFonts w:ascii="Arial" w:hAnsi="Arial" w:cs="Arial"/>
          <w:sz w:val="24"/>
          <w:szCs w:val="24"/>
        </w:rPr>
        <w:t>/Secretary&gt;</w:t>
      </w:r>
      <w:r w:rsidRPr="008E4F83">
        <w:rPr>
          <w:rFonts w:ascii="Arial" w:hAnsi="Arial" w:cs="Arial"/>
          <w:sz w:val="24"/>
          <w:szCs w:val="24"/>
        </w:rPr>
        <w:t xml:space="preserve"> shall ensure that the redetermined benefits replace the existing benefits previously determined for </w:t>
      </w:r>
      <w:r>
        <w:rPr>
          <w:rFonts w:ascii="Arial" w:hAnsi="Arial" w:cs="Arial"/>
          <w:sz w:val="24"/>
          <w:szCs w:val="24"/>
        </w:rPr>
        <w:t>&lt;name of drainage system&gt;</w:t>
      </w:r>
      <w:r w:rsidRPr="008E4F83">
        <w:rPr>
          <w:rFonts w:ascii="Arial" w:hAnsi="Arial" w:cs="Arial"/>
          <w:sz w:val="24"/>
          <w:szCs w:val="24"/>
        </w:rPr>
        <w:t>.</w:t>
      </w:r>
    </w:p>
    <w:p w:rsidR="008E4F83" w:rsidRPr="008E4F83" w:rsidRDefault="008E4F83" w:rsidP="008E4F83">
      <w:pPr>
        <w:pStyle w:val="ListParagraph"/>
        <w:ind w:hanging="720"/>
        <w:rPr>
          <w:rFonts w:ascii="Arial"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damages for the acquisition of the grass buffer area shall be paid and the grass buffer areas established as required by statute. </w:t>
      </w:r>
    </w:p>
    <w:p w:rsidR="008E4F83" w:rsidRPr="008E4F83" w:rsidRDefault="008E4F83" w:rsidP="008E4F83">
      <w:pPr>
        <w:pStyle w:val="ListParagraph"/>
        <w:ind w:hanging="720"/>
        <w:rPr>
          <w:rFonts w:ascii="Arial"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effective date of the acquisition of the grass strip shall be </w:t>
      </w:r>
      <w:r>
        <w:rPr>
          <w:rFonts w:ascii="Arial" w:hAnsi="Arial" w:cs="Arial"/>
          <w:sz w:val="24"/>
          <w:szCs w:val="24"/>
        </w:rPr>
        <w:t>&lt;date&gt;</w:t>
      </w:r>
      <w:r w:rsidRPr="008E4F83">
        <w:rPr>
          <w:rFonts w:ascii="Arial" w:hAnsi="Arial" w:cs="Arial"/>
          <w:sz w:val="24"/>
          <w:szCs w:val="24"/>
        </w:rPr>
        <w:t xml:space="preserve">. </w:t>
      </w:r>
    </w:p>
    <w:p w:rsidR="008E4F83" w:rsidRPr="008E4F83" w:rsidRDefault="008E4F83" w:rsidP="008E4F83">
      <w:pPr>
        <w:pStyle w:val="ListParagraph"/>
        <w:ind w:hanging="720"/>
        <w:rPr>
          <w:rFonts w:ascii="Arial" w:hAnsi="Arial" w:cs="Arial"/>
          <w:sz w:val="24"/>
          <w:szCs w:val="24"/>
        </w:rPr>
      </w:pPr>
    </w:p>
    <w:p w:rsidR="008E4F83" w:rsidRPr="008E4F83" w:rsidRDefault="008E4F83" w:rsidP="008E4F83">
      <w:pPr>
        <w:pStyle w:val="ListParagraph"/>
        <w:numPr>
          <w:ilvl w:val="0"/>
          <w:numId w:val="6"/>
        </w:numPr>
        <w:spacing w:after="0" w:line="240" w:lineRule="auto"/>
        <w:ind w:hanging="720"/>
        <w:jc w:val="both"/>
        <w:rPr>
          <w:rFonts w:ascii="Arial" w:hAnsi="Arial" w:cs="Arial"/>
          <w:sz w:val="24"/>
          <w:szCs w:val="24"/>
        </w:rPr>
      </w:pPr>
      <w:r w:rsidRPr="008E4F83">
        <w:rPr>
          <w:rFonts w:ascii="Arial" w:hAnsi="Arial" w:cs="Arial"/>
          <w:sz w:val="24"/>
          <w:szCs w:val="24"/>
        </w:rPr>
        <w:t xml:space="preserve">The Board’s staff is directed to work with the County Recorder’s office to ensure that the drainage system and the grass buffer area acquisition is reflected on the property records of affected landowners. </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lastRenderedPageBreak/>
        <w:t xml:space="preserve">After discussion, the Board </w:t>
      </w:r>
      <w:r>
        <w:rPr>
          <w:rFonts w:ascii="Arial" w:eastAsia="Calibri" w:hAnsi="Arial" w:cs="Arial"/>
          <w:sz w:val="24"/>
          <w:szCs w:val="24"/>
        </w:rPr>
        <w:t>Chair</w:t>
      </w:r>
      <w:r w:rsidR="009D30DC">
        <w:rPr>
          <w:rFonts w:ascii="Arial" w:eastAsia="Calibri" w:hAnsi="Arial" w:cs="Arial"/>
          <w:sz w:val="24"/>
          <w:szCs w:val="24"/>
        </w:rPr>
        <w:t xml:space="preserve"> called the question.</w:t>
      </w:r>
      <w:r w:rsidRPr="006C3CB8">
        <w:rPr>
          <w:rFonts w:ascii="Arial" w:eastAsia="Calibri" w:hAnsi="Arial" w:cs="Arial"/>
          <w:sz w:val="24"/>
          <w:szCs w:val="24"/>
        </w:rPr>
        <w:t xml:space="preserve">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4D4EEE">
        <w:tc>
          <w:tcPr>
            <w:tcW w:w="1890" w:type="dxa"/>
          </w:tcPr>
          <w:p w:rsidR="006C3CB8" w:rsidRPr="006C3CB8" w:rsidRDefault="006C3CB8" w:rsidP="004D4EEE">
            <w:pPr>
              <w:jc w:val="both"/>
              <w:rPr>
                <w:rFonts w:ascii="Arial" w:hAnsi="Arial" w:cs="Arial"/>
              </w:rPr>
            </w:pPr>
          </w:p>
        </w:tc>
        <w:tc>
          <w:tcPr>
            <w:tcW w:w="1795" w:type="dxa"/>
          </w:tcPr>
          <w:p w:rsidR="006C3CB8" w:rsidRPr="006C3CB8" w:rsidRDefault="006C3CB8" w:rsidP="004D4EEE">
            <w:pPr>
              <w:jc w:val="center"/>
              <w:rPr>
                <w:rFonts w:ascii="Arial" w:hAnsi="Arial" w:cs="Arial"/>
              </w:rPr>
            </w:pPr>
            <w:r w:rsidRPr="006C3CB8">
              <w:rPr>
                <w:rFonts w:ascii="Arial" w:hAnsi="Arial" w:cs="Arial"/>
              </w:rPr>
              <w:t>Yea</w:t>
            </w:r>
          </w:p>
        </w:tc>
        <w:tc>
          <w:tcPr>
            <w:tcW w:w="1894" w:type="dxa"/>
          </w:tcPr>
          <w:p w:rsidR="006C3CB8" w:rsidRPr="006C3CB8" w:rsidRDefault="006C3CB8" w:rsidP="004D4EEE">
            <w:pPr>
              <w:jc w:val="center"/>
              <w:rPr>
                <w:rFonts w:ascii="Arial" w:hAnsi="Arial" w:cs="Arial"/>
              </w:rPr>
            </w:pPr>
            <w:r w:rsidRPr="006C3CB8">
              <w:rPr>
                <w:rFonts w:ascii="Arial" w:hAnsi="Arial" w:cs="Arial"/>
              </w:rPr>
              <w:t>Nay</w:t>
            </w:r>
          </w:p>
        </w:tc>
        <w:tc>
          <w:tcPr>
            <w:tcW w:w="1972" w:type="dxa"/>
          </w:tcPr>
          <w:p w:rsidR="006C3CB8" w:rsidRPr="006C3CB8" w:rsidRDefault="006C3CB8" w:rsidP="004D4EEE">
            <w:pPr>
              <w:jc w:val="center"/>
              <w:rPr>
                <w:rFonts w:ascii="Arial" w:hAnsi="Arial" w:cs="Arial"/>
              </w:rPr>
            </w:pPr>
            <w:r w:rsidRPr="006C3CB8">
              <w:rPr>
                <w:rFonts w:ascii="Arial" w:hAnsi="Arial" w:cs="Arial"/>
              </w:rPr>
              <w:t>Absent</w:t>
            </w:r>
          </w:p>
        </w:tc>
        <w:tc>
          <w:tcPr>
            <w:tcW w:w="1799" w:type="dxa"/>
          </w:tcPr>
          <w:p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D0D" w:rsidRDefault="004D7D0D" w:rsidP="00691E99">
      <w:pPr>
        <w:spacing w:after="0" w:line="240" w:lineRule="auto"/>
      </w:pPr>
      <w:r>
        <w:separator/>
      </w:r>
    </w:p>
  </w:endnote>
  <w:endnote w:type="continuationSeparator" w:id="0">
    <w:p w:rsidR="004D7D0D" w:rsidRDefault="004D7D0D"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8E4F83">
          <w:rPr>
            <w:rFonts w:ascii="Arial" w:hAnsi="Arial" w:cs="Arial"/>
            <w:noProof/>
            <w:sz w:val="24"/>
          </w:rPr>
          <w:t>8</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D0D" w:rsidRDefault="004D7D0D" w:rsidP="00691E99">
      <w:pPr>
        <w:spacing w:after="0" w:line="240" w:lineRule="auto"/>
      </w:pPr>
      <w:r>
        <w:separator/>
      </w:r>
    </w:p>
  </w:footnote>
  <w:footnote w:type="continuationSeparator" w:id="0">
    <w:p w:rsidR="004D7D0D" w:rsidRDefault="004D7D0D"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7FE"/>
    <w:multiLevelType w:val="hybridMultilevel"/>
    <w:tmpl w:val="751AF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52F50"/>
    <w:rsid w:val="000A04E7"/>
    <w:rsid w:val="000C0F13"/>
    <w:rsid w:val="000F480F"/>
    <w:rsid w:val="0012003F"/>
    <w:rsid w:val="00204F84"/>
    <w:rsid w:val="00206C20"/>
    <w:rsid w:val="0021635C"/>
    <w:rsid w:val="002210D1"/>
    <w:rsid w:val="002420E7"/>
    <w:rsid w:val="00250662"/>
    <w:rsid w:val="0027036A"/>
    <w:rsid w:val="002C7562"/>
    <w:rsid w:val="002F5B12"/>
    <w:rsid w:val="003379A6"/>
    <w:rsid w:val="00387077"/>
    <w:rsid w:val="00390524"/>
    <w:rsid w:val="003F21E2"/>
    <w:rsid w:val="004056AB"/>
    <w:rsid w:val="004124F8"/>
    <w:rsid w:val="00427DA3"/>
    <w:rsid w:val="0046049D"/>
    <w:rsid w:val="00463256"/>
    <w:rsid w:val="004762D2"/>
    <w:rsid w:val="004A6B45"/>
    <w:rsid w:val="004D7D0D"/>
    <w:rsid w:val="00514E8D"/>
    <w:rsid w:val="00540682"/>
    <w:rsid w:val="00542AB5"/>
    <w:rsid w:val="005C6779"/>
    <w:rsid w:val="0068782F"/>
    <w:rsid w:val="00691E99"/>
    <w:rsid w:val="006C3CB8"/>
    <w:rsid w:val="006D0436"/>
    <w:rsid w:val="006D52BB"/>
    <w:rsid w:val="006E4D0D"/>
    <w:rsid w:val="006E55FC"/>
    <w:rsid w:val="006F4291"/>
    <w:rsid w:val="00740E62"/>
    <w:rsid w:val="00763DF4"/>
    <w:rsid w:val="007F4C27"/>
    <w:rsid w:val="00801BE1"/>
    <w:rsid w:val="008121D5"/>
    <w:rsid w:val="008E3B2E"/>
    <w:rsid w:val="008E4F83"/>
    <w:rsid w:val="009078BE"/>
    <w:rsid w:val="00912EB6"/>
    <w:rsid w:val="00925D1D"/>
    <w:rsid w:val="00944868"/>
    <w:rsid w:val="00962426"/>
    <w:rsid w:val="009D0748"/>
    <w:rsid w:val="009D30DC"/>
    <w:rsid w:val="00A22B8F"/>
    <w:rsid w:val="00A46757"/>
    <w:rsid w:val="00A73A5F"/>
    <w:rsid w:val="00A97B2D"/>
    <w:rsid w:val="00B07FE5"/>
    <w:rsid w:val="00B32177"/>
    <w:rsid w:val="00B57E87"/>
    <w:rsid w:val="00B9274B"/>
    <w:rsid w:val="00BB3641"/>
    <w:rsid w:val="00BF41EE"/>
    <w:rsid w:val="00C064E3"/>
    <w:rsid w:val="00C16354"/>
    <w:rsid w:val="00C17E25"/>
    <w:rsid w:val="00C657FE"/>
    <w:rsid w:val="00CF5B17"/>
    <w:rsid w:val="00D04359"/>
    <w:rsid w:val="00D340A3"/>
    <w:rsid w:val="00D47DC9"/>
    <w:rsid w:val="00DE434C"/>
    <w:rsid w:val="00DF79AB"/>
    <w:rsid w:val="00E53FD0"/>
    <w:rsid w:val="00E6553C"/>
    <w:rsid w:val="00E76AA8"/>
    <w:rsid w:val="00E770DB"/>
    <w:rsid w:val="00EC6E50"/>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EA46-5FAF-443F-B86B-A11F80F8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2021-01-04T21:49:00Z</dcterms:created>
  <dcterms:modified xsi:type="dcterms:W3CDTF">2021-01-04T21:49:00Z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