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5730" w14:textId="21CC0B80" w:rsidR="00B8613E" w:rsidRPr="006577BE" w:rsidRDefault="006577BE" w:rsidP="00B8613E">
      <w:pPr>
        <w:rPr>
          <w:sz w:val="48"/>
          <w:szCs w:val="48"/>
        </w:rPr>
      </w:pPr>
      <w:r w:rsidRPr="006577BE">
        <w:rPr>
          <w:sz w:val="48"/>
          <w:szCs w:val="48"/>
        </w:rPr>
        <w:t>Dry Prairie Northwest 35-422</w:t>
      </w:r>
    </w:p>
    <w:p w14:paraId="1DF20219" w14:textId="77777777" w:rsidR="006577BE" w:rsidRDefault="006577BE" w:rsidP="00B8613E"/>
    <w:p w14:paraId="014782C4" w14:textId="1F2D0A54" w:rsidR="00B8613E" w:rsidRDefault="00B8613E" w:rsidP="00B8613E">
      <w:r>
        <w:t>Updated: 2023</w:t>
      </w:r>
    </w:p>
    <w:p w14:paraId="2F7040C4" w14:textId="078A00BC" w:rsidR="00B8613E" w:rsidRDefault="00B8613E" w:rsidP="00B8613E">
      <w:r>
        <w:rPr>
          <w:rStyle w:val="normaltextrun"/>
        </w:rPr>
        <w:t xml:space="preserve">This mix has been designed for </w:t>
      </w:r>
      <w:r w:rsidR="009244FE">
        <w:rPr>
          <w:rStyle w:val="normaltextrun"/>
        </w:rPr>
        <w:t xml:space="preserve">Northwest Minnesota </w:t>
      </w:r>
      <w:r>
        <w:rPr>
          <w:rStyle w:val="normaltextrun"/>
        </w:rPr>
        <w:t>a</w:t>
      </w:r>
      <w:r>
        <w:t xml:space="preserve">reas with </w:t>
      </w:r>
      <w:r w:rsidR="00CE7BEC">
        <w:t>dry</w:t>
      </w:r>
      <w:r>
        <w:t xml:space="preserve"> soils and full sun for at least 70% of the day where land is being converted from other uses such as agriculture or non-native grasses to a prairie reconstruction</w:t>
      </w:r>
      <w:r>
        <w:rPr>
          <w:rStyle w:val="normaltextrun"/>
        </w:rPr>
        <w:t xml:space="preserve">    with the goals of providing w</w:t>
      </w:r>
      <w:r>
        <w:t>ildlife habitat</w:t>
      </w:r>
      <w:r w:rsidR="00CE7BEC">
        <w:t xml:space="preserve">, </w:t>
      </w:r>
      <w:r>
        <w:t>soil stabilization,</w:t>
      </w:r>
      <w:r w:rsidR="00CE7BEC">
        <w:t xml:space="preserve"> and</w:t>
      </w:r>
      <w:r>
        <w:t xml:space="preserve"> water quality benefits.</w:t>
      </w:r>
      <w:r w:rsidR="00432A96" w:rsidRPr="00432A96">
        <w:t xml:space="preserve"> </w:t>
      </w:r>
      <w:r w:rsidR="00432A96">
        <w:t>This mix has been designed for projects focused on establishing high plant diversity including mitigation projects.</w:t>
      </w:r>
    </w:p>
    <w:p w14:paraId="00717573" w14:textId="77777777" w:rsidR="00B8613E" w:rsidRDefault="00B8613E" w:rsidP="00B8613E">
      <w:pPr>
        <w:pStyle w:val="paragraph"/>
        <w:spacing w:before="0" w:beforeAutospacing="0" w:after="0" w:afterAutospacing="0"/>
        <w:textAlignment w:val="baseline"/>
        <w:rPr>
          <w:rFonts w:ascii="Segoe UI" w:hAnsi="Segoe UI" w:cs="Segoe UI"/>
          <w:sz w:val="18"/>
          <w:szCs w:val="18"/>
        </w:rPr>
      </w:pPr>
      <w:r>
        <w:rPr>
          <w:noProof/>
        </w:rPr>
        <mc:AlternateContent>
          <mc:Choice Requires="wps">
            <w:drawing>
              <wp:anchor distT="45720" distB="45720" distL="114300" distR="114300" simplePos="0" relativeHeight="251659264" behindDoc="0" locked="0" layoutInCell="1" allowOverlap="1" wp14:anchorId="47EFB0CD" wp14:editId="515E7F3D">
                <wp:simplePos x="0" y="0"/>
                <wp:positionH relativeFrom="margin">
                  <wp:align>right</wp:align>
                </wp:positionH>
                <wp:positionV relativeFrom="paragraph">
                  <wp:posOffset>298450</wp:posOffset>
                </wp:positionV>
                <wp:extent cx="1310005" cy="556895"/>
                <wp:effectExtent l="0" t="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556895"/>
                        </a:xfrm>
                        <a:prstGeom prst="rect">
                          <a:avLst/>
                        </a:prstGeom>
                        <a:solidFill>
                          <a:srgbClr val="FFFFFF"/>
                        </a:solidFill>
                        <a:ln w="9525">
                          <a:noFill/>
                          <a:miter lim="800000"/>
                          <a:headEnd/>
                          <a:tailEnd/>
                        </a:ln>
                      </wps:spPr>
                      <wps:txbx>
                        <w:txbxContent>
                          <w:p w14:paraId="50DA37D5" w14:textId="77777777" w:rsidR="00B8613E" w:rsidRDefault="00B8613E" w:rsidP="00B8613E">
                            <w:r>
                              <w:rPr>
                                <w:noProof/>
                              </w:rPr>
                              <w:drawing>
                                <wp:inline distT="0" distB="0" distL="0" distR="0" wp14:anchorId="40DCDB1E" wp14:editId="73CEDA19">
                                  <wp:extent cx="11239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FB0CD" id="_x0000_t202" coordsize="21600,21600" o:spt="202" path="m,l,21600r21600,l21600,xe">
                <v:stroke joinstyle="miter"/>
                <v:path gradientshapeok="t" o:connecttype="rect"/>
              </v:shapetype>
              <v:shape id="Text Box 2" o:spid="_x0000_s1026" type="#_x0000_t202" style="position:absolute;margin-left:51.95pt;margin-top:23.5pt;width:103.15pt;height:4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" stroked="f">
                <v:textbox>
                  <w:txbxContent>
                    <w:p w14:paraId="50DA37D5" w14:textId="77777777" w:rsidR="00B8613E" w:rsidRDefault="00B8613E" w:rsidP="00B8613E">
                      <w:r>
                        <w:rPr>
                          <w:noProof/>
                        </w:rPr>
                        <w:drawing>
                          <wp:inline distT="0" distB="0" distL="0" distR="0" wp14:anchorId="40DCDB1E" wp14:editId="73CEDA19">
                            <wp:extent cx="11239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23950" cy="514350"/>
                                    </a:xfrm>
                                    <a:prstGeom prst="rect">
                                      <a:avLst/>
                                    </a:prstGeom>
                                  </pic:spPr>
                                </pic:pic>
                              </a:graphicData>
                            </a:graphic>
                          </wp:inline>
                        </w:drawing>
                      </w:r>
                    </w:p>
                  </w:txbxContent>
                </v:textbox>
                <w10:wrap type="square" anchorx="margin"/>
              </v:shape>
            </w:pict>
          </mc:Fallback>
        </mc:AlternateContent>
      </w:r>
    </w:p>
    <w:p w14:paraId="1BB37E61" w14:textId="77777777" w:rsidR="00B8613E" w:rsidRDefault="00B8613E" w:rsidP="00B8613E">
      <w:pPr>
        <w:rPr>
          <w:noProof/>
        </w:rPr>
      </w:pPr>
      <w:r>
        <w:rPr>
          <w:noProof/>
        </w:rPr>
        <w:t xml:space="preserve">    </w:t>
      </w:r>
    </w:p>
    <w:p w14:paraId="5E2EE480" w14:textId="2F60816D" w:rsidR="00F12387" w:rsidRDefault="00B8613E" w:rsidP="00F12387">
      <w:pPr>
        <w:ind w:right="-540"/>
      </w:pPr>
      <w:r>
        <w:rPr>
          <w:noProof/>
        </w:rPr>
        <mc:AlternateContent>
          <mc:Choice Requires="wps">
            <w:drawing>
              <wp:anchor distT="45720" distB="45720" distL="114300" distR="114300" simplePos="0" relativeHeight="251661312" behindDoc="0" locked="0" layoutInCell="1" allowOverlap="1" wp14:anchorId="31442E0A" wp14:editId="1FA6F82C">
                <wp:simplePos x="0" y="0"/>
                <wp:positionH relativeFrom="column">
                  <wp:posOffset>2169160</wp:posOffset>
                </wp:positionH>
                <wp:positionV relativeFrom="paragraph">
                  <wp:posOffset>17780</wp:posOffset>
                </wp:positionV>
                <wp:extent cx="2360930" cy="444500"/>
                <wp:effectExtent l="0" t="0" r="381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4500"/>
                        </a:xfrm>
                        <a:prstGeom prst="rect">
                          <a:avLst/>
                        </a:prstGeom>
                        <a:solidFill>
                          <a:srgbClr val="FFFFFF"/>
                        </a:solidFill>
                        <a:ln w="9525">
                          <a:noFill/>
                          <a:miter lim="800000"/>
                          <a:headEnd/>
                          <a:tailEnd/>
                        </a:ln>
                      </wps:spPr>
                      <wps:txbx>
                        <w:txbxContent>
                          <w:p w14:paraId="6191E6DE" w14:textId="77777777" w:rsidR="00B8613E" w:rsidRDefault="00B8613E" w:rsidP="00B8613E">
                            <w:r>
                              <w:rPr>
                                <w:noProof/>
                              </w:rPr>
                              <w:drawing>
                                <wp:inline distT="0" distB="0" distL="0" distR="0" wp14:anchorId="42C96563" wp14:editId="43436DD7">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1442E0A" id="_x0000_s1027" type="#_x0000_t202" style="position:absolute;margin-left:170.8pt;margin-top:1.4pt;width:185.9pt;height: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" stroked="f">
                <v:textbox>
                  <w:txbxContent>
                    <w:p w14:paraId="6191E6DE" w14:textId="77777777" w:rsidR="00B8613E" w:rsidRDefault="00B8613E" w:rsidP="00B8613E">
                      <w:r>
                        <w:rPr>
                          <w:noProof/>
                        </w:rPr>
                        <w:drawing>
                          <wp:inline distT="0" distB="0" distL="0" distR="0" wp14:anchorId="42C96563" wp14:editId="43436DD7">
                            <wp:extent cx="2162810" cy="380580"/>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2162810" cy="380580"/>
                                    </a:xfrm>
                                    <a:prstGeom prst="rect">
                                      <a:avLst/>
                                    </a:prstGeom>
                                  </pic:spPr>
                                </pic:pic>
                              </a:graphicData>
                            </a:graphic>
                          </wp:inline>
                        </w:drawing>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638B6ED9" wp14:editId="772863E1">
                <wp:simplePos x="0" y="0"/>
                <wp:positionH relativeFrom="margin">
                  <wp:align>left</wp:align>
                </wp:positionH>
                <wp:positionV relativeFrom="paragraph">
                  <wp:posOffset>9525</wp:posOffset>
                </wp:positionV>
                <wp:extent cx="2219960" cy="38100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381000"/>
                        </a:xfrm>
                        <a:prstGeom prst="rect">
                          <a:avLst/>
                        </a:prstGeom>
                        <a:solidFill>
                          <a:srgbClr val="FFFFFF"/>
                        </a:solidFill>
                        <a:ln w="9525">
                          <a:noFill/>
                          <a:miter lim="800000"/>
                          <a:headEnd/>
                          <a:tailEnd/>
                        </a:ln>
                      </wps:spPr>
                      <wps:txbx>
                        <w:txbxContent>
                          <w:p w14:paraId="0CD9BA02" w14:textId="77777777" w:rsidR="00B8613E" w:rsidRDefault="00B8613E" w:rsidP="00B8613E">
                            <w:r>
                              <w:rPr>
                                <w:noProof/>
                              </w:rPr>
                              <w:drawing>
                                <wp:inline distT="0" distB="0" distL="0" distR="0" wp14:anchorId="79C792E7" wp14:editId="785B9B14">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8B6ED9" id="_x0000_s1028" type="#_x0000_t202" style="position:absolute;margin-left:0;margin-top:.75pt;width:174.8pt;height:30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" stroked="f">
                <v:textbox>
                  <w:txbxContent>
                    <w:p w14:paraId="0CD9BA02" w14:textId="77777777" w:rsidR="00B8613E" w:rsidRDefault="00B8613E" w:rsidP="00B8613E">
                      <w:r>
                        <w:rPr>
                          <w:noProof/>
                        </w:rPr>
                        <w:drawing>
                          <wp:inline distT="0" distB="0" distL="0" distR="0" wp14:anchorId="79C792E7" wp14:editId="785B9B14">
                            <wp:extent cx="193357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a:xfrm>
                                      <a:off x="0" y="0"/>
                                      <a:ext cx="1933575" cy="352425"/>
                                    </a:xfrm>
                                    <a:prstGeom prst="rect">
                                      <a:avLst/>
                                    </a:prstGeom>
                                  </pic:spPr>
                                </pic:pic>
                              </a:graphicData>
                            </a:graphic>
                          </wp:inline>
                        </w:drawing>
                      </w:r>
                    </w:p>
                  </w:txbxContent>
                </v:textbox>
                <w10:wrap type="square" anchorx="margin"/>
              </v:shape>
            </w:pict>
          </mc:Fallback>
        </mc:AlternateContent>
      </w:r>
      <w:r>
        <w:t>Partners also include collaboration among Non-profits, Seed vendors, SWCD, Tribal Governments, Consultants, County and Cities. (</w:t>
      </w:r>
      <w:r w:rsidR="005C5573">
        <w:t>See</w:t>
      </w:r>
      <w:r>
        <w:t xml:space="preserve"> </w:t>
      </w:r>
      <w:r w:rsidR="005C5573">
        <w:t>partner</w:t>
      </w:r>
      <w:r>
        <w:t xml:space="preserve"> list on </w:t>
      </w:r>
      <w:hyperlink r:id="rId11" w:history="1">
        <w:r>
          <w:rPr>
            <w:rStyle w:val="Hyperlink"/>
          </w:rPr>
          <w:t>website</w:t>
        </w:r>
      </w:hyperlink>
      <w:r>
        <w:t>)</w:t>
      </w:r>
    </w:p>
    <w:p w14:paraId="652E5A79" w14:textId="77777777" w:rsidR="00F12387" w:rsidRDefault="00F12387" w:rsidP="00F12387">
      <w:pPr>
        <w:ind w:right="-540"/>
      </w:pPr>
    </w:p>
    <w:p w14:paraId="608D855F" w14:textId="77777777" w:rsidR="00F12387" w:rsidRDefault="00F12387" w:rsidP="00F12387">
      <w:pPr>
        <w:ind w:right="-540"/>
      </w:pPr>
    </w:p>
    <w:tbl>
      <w:tblPr>
        <w:tblW w:w="9540" w:type="dxa"/>
        <w:tblInd w:w="-180" w:type="dxa"/>
        <w:tblLook w:val="04A0" w:firstRow="1" w:lastRow="0" w:firstColumn="1" w:lastColumn="0" w:noHBand="0" w:noVBand="1"/>
      </w:tblPr>
      <w:tblGrid>
        <w:gridCol w:w="1028"/>
        <w:gridCol w:w="2172"/>
        <w:gridCol w:w="2478"/>
        <w:gridCol w:w="711"/>
        <w:gridCol w:w="985"/>
        <w:gridCol w:w="1083"/>
        <w:gridCol w:w="1083"/>
      </w:tblGrid>
      <w:tr w:rsidR="00F12387" w:rsidRPr="00F12387" w14:paraId="474A2169" w14:textId="77777777" w:rsidTr="005C5573">
        <w:trPr>
          <w:trHeight w:val="255"/>
        </w:trPr>
        <w:tc>
          <w:tcPr>
            <w:tcW w:w="1050" w:type="dxa"/>
            <w:tcBorders>
              <w:top w:val="nil"/>
              <w:left w:val="nil"/>
              <w:bottom w:val="nil"/>
              <w:right w:val="nil"/>
            </w:tcBorders>
            <w:shd w:val="clear" w:color="auto" w:fill="auto"/>
            <w:noWrap/>
            <w:vAlign w:val="bottom"/>
            <w:hideMark/>
          </w:tcPr>
          <w:p w14:paraId="71F52391" w14:textId="77777777" w:rsidR="00F12387" w:rsidRPr="00F12387" w:rsidRDefault="00F12387" w:rsidP="00F12387">
            <w:pPr>
              <w:rPr>
                <w:rFonts w:ascii="Times New Roman" w:eastAsia="Times New Roman" w:hAnsi="Times New Roman" w:cs="Times New Roman"/>
                <w:sz w:val="24"/>
                <w:szCs w:val="24"/>
              </w:rPr>
            </w:pPr>
            <w:bookmarkStart w:id="0" w:name="RANGE!A1"/>
            <w:bookmarkEnd w:id="0"/>
          </w:p>
        </w:tc>
        <w:tc>
          <w:tcPr>
            <w:tcW w:w="2224" w:type="dxa"/>
            <w:tcBorders>
              <w:top w:val="nil"/>
              <w:left w:val="nil"/>
              <w:bottom w:val="nil"/>
              <w:right w:val="nil"/>
            </w:tcBorders>
            <w:shd w:val="clear" w:color="auto" w:fill="auto"/>
            <w:noWrap/>
            <w:vAlign w:val="bottom"/>
            <w:hideMark/>
          </w:tcPr>
          <w:p w14:paraId="646265E3" w14:textId="77777777" w:rsidR="00F12387" w:rsidRPr="00F12387" w:rsidRDefault="00F12387" w:rsidP="00F12387">
            <w:pPr>
              <w:rPr>
                <w:rFonts w:ascii="Arial" w:eastAsia="Times New Roman" w:hAnsi="Arial" w:cs="Arial"/>
                <w:b/>
                <w:bCs/>
                <w:color w:val="000000"/>
                <w:sz w:val="20"/>
                <w:szCs w:val="20"/>
              </w:rPr>
            </w:pPr>
            <w:bookmarkStart w:id="1" w:name="RANGE!B1:G53"/>
            <w:r w:rsidRPr="00F12387">
              <w:rPr>
                <w:rFonts w:ascii="Arial" w:eastAsia="Times New Roman" w:hAnsi="Arial" w:cs="Arial"/>
                <w:b/>
                <w:bCs/>
                <w:color w:val="000000"/>
                <w:sz w:val="20"/>
                <w:szCs w:val="20"/>
              </w:rPr>
              <w:t>35-422</w:t>
            </w:r>
            <w:bookmarkEnd w:id="1"/>
          </w:p>
        </w:tc>
        <w:tc>
          <w:tcPr>
            <w:tcW w:w="2538" w:type="dxa"/>
            <w:tcBorders>
              <w:top w:val="nil"/>
              <w:left w:val="nil"/>
              <w:bottom w:val="nil"/>
              <w:right w:val="nil"/>
            </w:tcBorders>
            <w:shd w:val="clear" w:color="auto" w:fill="auto"/>
            <w:noWrap/>
            <w:vAlign w:val="bottom"/>
            <w:hideMark/>
          </w:tcPr>
          <w:p w14:paraId="2DEBAB2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Dry Prairie Northwest Mix</w:t>
            </w:r>
          </w:p>
        </w:tc>
        <w:tc>
          <w:tcPr>
            <w:tcW w:w="724" w:type="dxa"/>
            <w:tcBorders>
              <w:top w:val="nil"/>
              <w:left w:val="nil"/>
              <w:bottom w:val="nil"/>
              <w:right w:val="nil"/>
            </w:tcBorders>
            <w:shd w:val="clear" w:color="auto" w:fill="auto"/>
            <w:noWrap/>
            <w:vAlign w:val="bottom"/>
            <w:hideMark/>
          </w:tcPr>
          <w:p w14:paraId="4512C4E6" w14:textId="77777777" w:rsidR="00F12387" w:rsidRPr="00F12387" w:rsidRDefault="00F12387" w:rsidP="00F12387">
            <w:pPr>
              <w:rPr>
                <w:rFonts w:ascii="Arial" w:eastAsia="Times New Roman" w:hAnsi="Arial" w:cs="Arial"/>
                <w:b/>
                <w:bCs/>
                <w:color w:val="000000"/>
                <w:sz w:val="20"/>
                <w:szCs w:val="20"/>
              </w:rPr>
            </w:pPr>
          </w:p>
        </w:tc>
        <w:tc>
          <w:tcPr>
            <w:tcW w:w="940" w:type="dxa"/>
            <w:tcBorders>
              <w:top w:val="nil"/>
              <w:left w:val="nil"/>
              <w:bottom w:val="nil"/>
              <w:right w:val="nil"/>
            </w:tcBorders>
            <w:shd w:val="clear" w:color="auto" w:fill="auto"/>
            <w:noWrap/>
            <w:vAlign w:val="bottom"/>
            <w:hideMark/>
          </w:tcPr>
          <w:p w14:paraId="7C188670" w14:textId="77777777" w:rsidR="00F12387" w:rsidRPr="00F12387" w:rsidRDefault="00F12387" w:rsidP="00F12387">
            <w:pPr>
              <w:jc w:val="center"/>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14:paraId="53EA838D" w14:textId="77777777" w:rsidR="00F12387" w:rsidRPr="00F12387" w:rsidRDefault="00F12387" w:rsidP="00F12387">
            <w:pPr>
              <w:jc w:val="center"/>
              <w:rPr>
                <w:rFonts w:ascii="Times New Roman" w:eastAsia="Times New Roman" w:hAnsi="Times New Roman" w:cs="Times New Roman"/>
                <w:sz w:val="20"/>
                <w:szCs w:val="20"/>
              </w:rPr>
            </w:pPr>
          </w:p>
        </w:tc>
        <w:tc>
          <w:tcPr>
            <w:tcW w:w="1032" w:type="dxa"/>
            <w:tcBorders>
              <w:top w:val="nil"/>
              <w:left w:val="nil"/>
              <w:bottom w:val="nil"/>
              <w:right w:val="nil"/>
            </w:tcBorders>
            <w:shd w:val="clear" w:color="auto" w:fill="auto"/>
            <w:noWrap/>
            <w:vAlign w:val="bottom"/>
            <w:hideMark/>
          </w:tcPr>
          <w:p w14:paraId="66C5A4A4" w14:textId="77777777" w:rsidR="00F12387" w:rsidRPr="00F12387" w:rsidRDefault="00F12387" w:rsidP="00F12387">
            <w:pPr>
              <w:jc w:val="center"/>
              <w:rPr>
                <w:rFonts w:ascii="Times New Roman" w:eastAsia="Times New Roman" w:hAnsi="Times New Roman" w:cs="Times New Roman"/>
                <w:sz w:val="20"/>
                <w:szCs w:val="20"/>
              </w:rPr>
            </w:pPr>
          </w:p>
        </w:tc>
      </w:tr>
      <w:tr w:rsidR="00F12387" w:rsidRPr="00F12387" w14:paraId="6BBFC9AC" w14:textId="77777777" w:rsidTr="005C5573">
        <w:trPr>
          <w:trHeight w:val="510"/>
        </w:trPr>
        <w:tc>
          <w:tcPr>
            <w:tcW w:w="105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1F0A053"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Code</w:t>
            </w:r>
          </w:p>
        </w:tc>
        <w:tc>
          <w:tcPr>
            <w:tcW w:w="2224" w:type="dxa"/>
            <w:tcBorders>
              <w:top w:val="single" w:sz="4" w:space="0" w:color="auto"/>
              <w:left w:val="nil"/>
              <w:bottom w:val="single" w:sz="4" w:space="0" w:color="auto"/>
              <w:right w:val="single" w:sz="4" w:space="0" w:color="auto"/>
            </w:tcBorders>
            <w:shd w:val="clear" w:color="000000" w:fill="9BC2E6"/>
            <w:vAlign w:val="bottom"/>
            <w:hideMark/>
          </w:tcPr>
          <w:p w14:paraId="07434834"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Common Name</w:t>
            </w:r>
          </w:p>
        </w:tc>
        <w:tc>
          <w:tcPr>
            <w:tcW w:w="2538" w:type="dxa"/>
            <w:tcBorders>
              <w:top w:val="single" w:sz="4" w:space="0" w:color="auto"/>
              <w:left w:val="nil"/>
              <w:bottom w:val="single" w:sz="4" w:space="0" w:color="auto"/>
              <w:right w:val="single" w:sz="4" w:space="0" w:color="auto"/>
            </w:tcBorders>
            <w:shd w:val="clear" w:color="000000" w:fill="9BC2E6"/>
            <w:vAlign w:val="bottom"/>
            <w:hideMark/>
          </w:tcPr>
          <w:p w14:paraId="3B35A146"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Scientific Name</w:t>
            </w:r>
          </w:p>
        </w:tc>
        <w:tc>
          <w:tcPr>
            <w:tcW w:w="724" w:type="dxa"/>
            <w:tcBorders>
              <w:top w:val="single" w:sz="4" w:space="0" w:color="auto"/>
              <w:left w:val="nil"/>
              <w:bottom w:val="single" w:sz="4" w:space="0" w:color="auto"/>
              <w:right w:val="single" w:sz="4" w:space="0" w:color="auto"/>
            </w:tcBorders>
            <w:shd w:val="clear" w:color="000000" w:fill="9BC2E6"/>
            <w:vAlign w:val="bottom"/>
            <w:hideMark/>
          </w:tcPr>
          <w:p w14:paraId="1378D59C"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 xml:space="preserve">PLS </w:t>
            </w:r>
            <w:proofErr w:type="spellStart"/>
            <w:r w:rsidRPr="00F12387">
              <w:rPr>
                <w:rFonts w:ascii="Arial" w:eastAsia="Times New Roman" w:hAnsi="Arial" w:cs="Arial"/>
                <w:b/>
                <w:bCs/>
                <w:sz w:val="20"/>
                <w:szCs w:val="20"/>
              </w:rPr>
              <w:t>lb</w:t>
            </w:r>
            <w:proofErr w:type="spellEnd"/>
            <w:r w:rsidRPr="00F12387">
              <w:rPr>
                <w:rFonts w:ascii="Arial" w:eastAsia="Times New Roman" w:hAnsi="Arial" w:cs="Arial"/>
                <w:b/>
                <w:bCs/>
                <w:sz w:val="20"/>
                <w:szCs w:val="20"/>
              </w:rPr>
              <w:t>/ac</w:t>
            </w:r>
          </w:p>
        </w:tc>
        <w:tc>
          <w:tcPr>
            <w:tcW w:w="940" w:type="dxa"/>
            <w:tcBorders>
              <w:top w:val="single" w:sz="4" w:space="0" w:color="auto"/>
              <w:left w:val="nil"/>
              <w:bottom w:val="single" w:sz="4" w:space="0" w:color="auto"/>
              <w:right w:val="single" w:sz="4" w:space="0" w:color="auto"/>
            </w:tcBorders>
            <w:shd w:val="clear" w:color="000000" w:fill="9BC2E6"/>
            <w:vAlign w:val="bottom"/>
            <w:hideMark/>
          </w:tcPr>
          <w:p w14:paraId="1DA78E67" w14:textId="77777777" w:rsidR="00F12387" w:rsidRPr="00F12387" w:rsidRDefault="00F12387" w:rsidP="00F12387">
            <w:pPr>
              <w:jc w:val="cente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xml:space="preserve">% by PLS </w:t>
            </w:r>
            <w:proofErr w:type="spellStart"/>
            <w:r w:rsidRPr="00F12387">
              <w:rPr>
                <w:rFonts w:ascii="Arial" w:eastAsia="Times New Roman" w:hAnsi="Arial" w:cs="Arial"/>
                <w:b/>
                <w:bCs/>
                <w:color w:val="000000"/>
                <w:sz w:val="20"/>
                <w:szCs w:val="20"/>
              </w:rPr>
              <w:t>lb</w:t>
            </w:r>
            <w:proofErr w:type="spellEnd"/>
            <w:r w:rsidRPr="00F12387">
              <w:rPr>
                <w:rFonts w:ascii="Arial" w:eastAsia="Times New Roman" w:hAnsi="Arial" w:cs="Arial"/>
                <w:b/>
                <w:bCs/>
                <w:color w:val="000000"/>
                <w:sz w:val="20"/>
                <w:szCs w:val="20"/>
              </w:rPr>
              <w:t>/ac</w:t>
            </w:r>
          </w:p>
        </w:tc>
        <w:tc>
          <w:tcPr>
            <w:tcW w:w="1032" w:type="dxa"/>
            <w:tcBorders>
              <w:top w:val="single" w:sz="4" w:space="0" w:color="auto"/>
              <w:left w:val="nil"/>
              <w:bottom w:val="single" w:sz="4" w:space="0" w:color="auto"/>
              <w:right w:val="single" w:sz="4" w:space="0" w:color="auto"/>
            </w:tcBorders>
            <w:shd w:val="clear" w:color="000000" w:fill="9BC2E6"/>
            <w:vAlign w:val="bottom"/>
            <w:hideMark/>
          </w:tcPr>
          <w:p w14:paraId="400EB8E5"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Seeds/ft2</w:t>
            </w:r>
          </w:p>
        </w:tc>
        <w:tc>
          <w:tcPr>
            <w:tcW w:w="1032" w:type="dxa"/>
            <w:tcBorders>
              <w:top w:val="single" w:sz="4" w:space="0" w:color="auto"/>
              <w:left w:val="nil"/>
              <w:bottom w:val="single" w:sz="4" w:space="0" w:color="auto"/>
              <w:right w:val="single" w:sz="4" w:space="0" w:color="auto"/>
            </w:tcBorders>
            <w:shd w:val="clear" w:color="000000" w:fill="9BC2E6"/>
            <w:vAlign w:val="bottom"/>
            <w:hideMark/>
          </w:tcPr>
          <w:p w14:paraId="0FD7FADE" w14:textId="77777777" w:rsidR="00F12387" w:rsidRPr="00F12387" w:rsidRDefault="00F12387" w:rsidP="00F12387">
            <w:pPr>
              <w:jc w:val="center"/>
              <w:rPr>
                <w:rFonts w:ascii="Arial" w:eastAsia="Times New Roman" w:hAnsi="Arial" w:cs="Arial"/>
                <w:b/>
                <w:bCs/>
                <w:sz w:val="20"/>
                <w:szCs w:val="20"/>
              </w:rPr>
            </w:pPr>
            <w:r w:rsidRPr="00F12387">
              <w:rPr>
                <w:rFonts w:ascii="Arial" w:eastAsia="Times New Roman" w:hAnsi="Arial" w:cs="Arial"/>
                <w:b/>
                <w:bCs/>
                <w:sz w:val="20"/>
                <w:szCs w:val="20"/>
              </w:rPr>
              <w:t>% by Seeds/ft2</w:t>
            </w:r>
          </w:p>
        </w:tc>
      </w:tr>
      <w:tr w:rsidR="00F12387" w:rsidRPr="00F12387" w14:paraId="17267FC4"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7A8C013"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boucur</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5FDD64A7"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Sideoats</w:t>
            </w:r>
            <w:proofErr w:type="spellEnd"/>
            <w:r w:rsidRPr="00F12387">
              <w:rPr>
                <w:rFonts w:ascii="Arial" w:eastAsia="Times New Roman" w:hAnsi="Arial" w:cs="Arial"/>
                <w:color w:val="000000"/>
                <w:sz w:val="20"/>
                <w:szCs w:val="20"/>
              </w:rPr>
              <w:t xml:space="preserve"> Grama</w:t>
            </w:r>
          </w:p>
        </w:tc>
        <w:tc>
          <w:tcPr>
            <w:tcW w:w="2538" w:type="dxa"/>
            <w:tcBorders>
              <w:top w:val="nil"/>
              <w:left w:val="nil"/>
              <w:bottom w:val="single" w:sz="4" w:space="0" w:color="auto"/>
              <w:right w:val="single" w:sz="4" w:space="0" w:color="auto"/>
            </w:tcBorders>
            <w:shd w:val="clear" w:color="000000" w:fill="A9D08E"/>
            <w:noWrap/>
            <w:vAlign w:val="bottom"/>
            <w:hideMark/>
          </w:tcPr>
          <w:p w14:paraId="4B6B4D02"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Bouteloua</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curtipendula</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6E76269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1.88</w:t>
            </w:r>
          </w:p>
        </w:tc>
        <w:tc>
          <w:tcPr>
            <w:tcW w:w="940" w:type="dxa"/>
            <w:tcBorders>
              <w:top w:val="nil"/>
              <w:left w:val="nil"/>
              <w:bottom w:val="single" w:sz="4" w:space="0" w:color="auto"/>
              <w:right w:val="single" w:sz="4" w:space="0" w:color="auto"/>
            </w:tcBorders>
            <w:shd w:val="clear" w:color="auto" w:fill="auto"/>
            <w:noWrap/>
            <w:vAlign w:val="bottom"/>
            <w:hideMark/>
          </w:tcPr>
          <w:p w14:paraId="45B4033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5.70%</w:t>
            </w:r>
          </w:p>
        </w:tc>
        <w:tc>
          <w:tcPr>
            <w:tcW w:w="1032" w:type="dxa"/>
            <w:tcBorders>
              <w:top w:val="nil"/>
              <w:left w:val="nil"/>
              <w:bottom w:val="single" w:sz="4" w:space="0" w:color="auto"/>
              <w:right w:val="single" w:sz="4" w:space="0" w:color="auto"/>
            </w:tcBorders>
            <w:shd w:val="clear" w:color="auto" w:fill="auto"/>
            <w:noWrap/>
            <w:vAlign w:val="bottom"/>
            <w:hideMark/>
          </w:tcPr>
          <w:p w14:paraId="25EB447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4.14</w:t>
            </w:r>
          </w:p>
        </w:tc>
        <w:tc>
          <w:tcPr>
            <w:tcW w:w="1032" w:type="dxa"/>
            <w:tcBorders>
              <w:top w:val="nil"/>
              <w:left w:val="nil"/>
              <w:bottom w:val="single" w:sz="4" w:space="0" w:color="auto"/>
              <w:right w:val="single" w:sz="4" w:space="0" w:color="auto"/>
            </w:tcBorders>
            <w:shd w:val="clear" w:color="auto" w:fill="auto"/>
            <w:noWrap/>
            <w:vAlign w:val="bottom"/>
            <w:hideMark/>
          </w:tcPr>
          <w:p w14:paraId="4DAD947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4.71%</w:t>
            </w:r>
          </w:p>
        </w:tc>
      </w:tr>
      <w:tr w:rsidR="00F12387" w:rsidRPr="00F12387" w14:paraId="0D8899F7"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B003B73"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bougra</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12F57BE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Blue Grama</w:t>
            </w:r>
          </w:p>
        </w:tc>
        <w:tc>
          <w:tcPr>
            <w:tcW w:w="2538" w:type="dxa"/>
            <w:tcBorders>
              <w:top w:val="nil"/>
              <w:left w:val="nil"/>
              <w:bottom w:val="single" w:sz="4" w:space="0" w:color="auto"/>
              <w:right w:val="single" w:sz="4" w:space="0" w:color="auto"/>
            </w:tcBorders>
            <w:shd w:val="clear" w:color="000000" w:fill="A9D08E"/>
            <w:noWrap/>
            <w:vAlign w:val="bottom"/>
            <w:hideMark/>
          </w:tcPr>
          <w:p w14:paraId="6EA00212"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Bouteloua</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gracilis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0B7C579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0.50</w:t>
            </w:r>
          </w:p>
        </w:tc>
        <w:tc>
          <w:tcPr>
            <w:tcW w:w="940" w:type="dxa"/>
            <w:tcBorders>
              <w:top w:val="nil"/>
              <w:left w:val="nil"/>
              <w:bottom w:val="single" w:sz="4" w:space="0" w:color="auto"/>
              <w:right w:val="single" w:sz="4" w:space="0" w:color="auto"/>
            </w:tcBorders>
            <w:shd w:val="clear" w:color="auto" w:fill="auto"/>
            <w:noWrap/>
            <w:vAlign w:val="bottom"/>
            <w:hideMark/>
          </w:tcPr>
          <w:p w14:paraId="3C39EB3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1.52%</w:t>
            </w:r>
          </w:p>
        </w:tc>
        <w:tc>
          <w:tcPr>
            <w:tcW w:w="1032" w:type="dxa"/>
            <w:tcBorders>
              <w:top w:val="nil"/>
              <w:left w:val="nil"/>
              <w:bottom w:val="single" w:sz="4" w:space="0" w:color="auto"/>
              <w:right w:val="single" w:sz="4" w:space="0" w:color="auto"/>
            </w:tcBorders>
            <w:shd w:val="clear" w:color="auto" w:fill="auto"/>
            <w:noWrap/>
            <w:vAlign w:val="bottom"/>
            <w:hideMark/>
          </w:tcPr>
          <w:p w14:paraId="15026EC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7.35</w:t>
            </w:r>
          </w:p>
        </w:tc>
        <w:tc>
          <w:tcPr>
            <w:tcW w:w="1032" w:type="dxa"/>
            <w:tcBorders>
              <w:top w:val="nil"/>
              <w:left w:val="nil"/>
              <w:bottom w:val="single" w:sz="4" w:space="0" w:color="auto"/>
              <w:right w:val="single" w:sz="4" w:space="0" w:color="auto"/>
            </w:tcBorders>
            <w:shd w:val="clear" w:color="auto" w:fill="auto"/>
            <w:noWrap/>
            <w:vAlign w:val="bottom"/>
            <w:hideMark/>
          </w:tcPr>
          <w:p w14:paraId="195FDC0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8.36%</w:t>
            </w:r>
          </w:p>
        </w:tc>
      </w:tr>
      <w:tr w:rsidR="00F12387" w:rsidRPr="00F12387" w14:paraId="420CADA9"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C874CA8"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brokal</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7D949E2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Brome</w:t>
            </w:r>
          </w:p>
        </w:tc>
        <w:tc>
          <w:tcPr>
            <w:tcW w:w="2538" w:type="dxa"/>
            <w:tcBorders>
              <w:top w:val="nil"/>
              <w:left w:val="nil"/>
              <w:bottom w:val="single" w:sz="4" w:space="0" w:color="auto"/>
              <w:right w:val="single" w:sz="4" w:space="0" w:color="auto"/>
            </w:tcBorders>
            <w:shd w:val="clear" w:color="000000" w:fill="A9D08E"/>
            <w:noWrap/>
            <w:vAlign w:val="bottom"/>
            <w:hideMark/>
          </w:tcPr>
          <w:p w14:paraId="4983FED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Bromus </w:t>
            </w:r>
            <w:proofErr w:type="spellStart"/>
            <w:r w:rsidRPr="00F12387">
              <w:rPr>
                <w:rFonts w:ascii="Arial" w:eastAsia="Times New Roman" w:hAnsi="Arial" w:cs="Arial"/>
                <w:color w:val="000000"/>
                <w:sz w:val="20"/>
                <w:szCs w:val="20"/>
              </w:rPr>
              <w:t>kalmii</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67D401E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0.38</w:t>
            </w:r>
          </w:p>
        </w:tc>
        <w:tc>
          <w:tcPr>
            <w:tcW w:w="940" w:type="dxa"/>
            <w:tcBorders>
              <w:top w:val="nil"/>
              <w:left w:val="nil"/>
              <w:bottom w:val="single" w:sz="4" w:space="0" w:color="auto"/>
              <w:right w:val="single" w:sz="4" w:space="0" w:color="auto"/>
            </w:tcBorders>
            <w:shd w:val="clear" w:color="auto" w:fill="auto"/>
            <w:noWrap/>
            <w:vAlign w:val="bottom"/>
            <w:hideMark/>
          </w:tcPr>
          <w:p w14:paraId="4B5AC50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1.15%</w:t>
            </w:r>
          </w:p>
        </w:tc>
        <w:tc>
          <w:tcPr>
            <w:tcW w:w="1032" w:type="dxa"/>
            <w:tcBorders>
              <w:top w:val="nil"/>
              <w:left w:val="nil"/>
              <w:bottom w:val="single" w:sz="4" w:space="0" w:color="auto"/>
              <w:right w:val="single" w:sz="4" w:space="0" w:color="auto"/>
            </w:tcBorders>
            <w:shd w:val="clear" w:color="auto" w:fill="auto"/>
            <w:noWrap/>
            <w:vAlign w:val="bottom"/>
            <w:hideMark/>
          </w:tcPr>
          <w:p w14:paraId="7446696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1.12</w:t>
            </w:r>
          </w:p>
        </w:tc>
        <w:tc>
          <w:tcPr>
            <w:tcW w:w="1032" w:type="dxa"/>
            <w:tcBorders>
              <w:top w:val="nil"/>
              <w:left w:val="nil"/>
              <w:bottom w:val="single" w:sz="4" w:space="0" w:color="auto"/>
              <w:right w:val="single" w:sz="4" w:space="0" w:color="auto"/>
            </w:tcBorders>
            <w:shd w:val="clear" w:color="auto" w:fill="auto"/>
            <w:noWrap/>
            <w:vAlign w:val="bottom"/>
            <w:hideMark/>
          </w:tcPr>
          <w:p w14:paraId="4C465A8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1.27%</w:t>
            </w:r>
          </w:p>
        </w:tc>
      </w:tr>
      <w:tr w:rsidR="00F12387" w:rsidRPr="00F12387" w14:paraId="5687642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B6F0F72"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elycan</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6EB08D8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Canada Wild Rye</w:t>
            </w:r>
          </w:p>
        </w:tc>
        <w:tc>
          <w:tcPr>
            <w:tcW w:w="2538" w:type="dxa"/>
            <w:tcBorders>
              <w:top w:val="nil"/>
              <w:left w:val="nil"/>
              <w:bottom w:val="single" w:sz="4" w:space="0" w:color="auto"/>
              <w:right w:val="single" w:sz="4" w:space="0" w:color="auto"/>
            </w:tcBorders>
            <w:shd w:val="clear" w:color="000000" w:fill="A9D08E"/>
            <w:noWrap/>
            <w:vAlign w:val="bottom"/>
            <w:hideMark/>
          </w:tcPr>
          <w:p w14:paraId="06339E9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Elymus canadensis</w:t>
            </w:r>
          </w:p>
        </w:tc>
        <w:tc>
          <w:tcPr>
            <w:tcW w:w="724" w:type="dxa"/>
            <w:tcBorders>
              <w:top w:val="nil"/>
              <w:left w:val="nil"/>
              <w:bottom w:val="single" w:sz="4" w:space="0" w:color="auto"/>
              <w:right w:val="single" w:sz="4" w:space="0" w:color="auto"/>
            </w:tcBorders>
            <w:shd w:val="clear" w:color="auto" w:fill="auto"/>
            <w:noWrap/>
            <w:vAlign w:val="bottom"/>
            <w:hideMark/>
          </w:tcPr>
          <w:p w14:paraId="0558A3A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1.00</w:t>
            </w:r>
          </w:p>
        </w:tc>
        <w:tc>
          <w:tcPr>
            <w:tcW w:w="940" w:type="dxa"/>
            <w:tcBorders>
              <w:top w:val="nil"/>
              <w:left w:val="nil"/>
              <w:bottom w:val="single" w:sz="4" w:space="0" w:color="auto"/>
              <w:right w:val="single" w:sz="4" w:space="0" w:color="auto"/>
            </w:tcBorders>
            <w:shd w:val="clear" w:color="auto" w:fill="auto"/>
            <w:noWrap/>
            <w:vAlign w:val="bottom"/>
            <w:hideMark/>
          </w:tcPr>
          <w:p w14:paraId="348B4DD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3.03%</w:t>
            </w:r>
          </w:p>
        </w:tc>
        <w:tc>
          <w:tcPr>
            <w:tcW w:w="1032" w:type="dxa"/>
            <w:tcBorders>
              <w:top w:val="nil"/>
              <w:left w:val="nil"/>
              <w:bottom w:val="single" w:sz="4" w:space="0" w:color="auto"/>
              <w:right w:val="single" w:sz="4" w:space="0" w:color="auto"/>
            </w:tcBorders>
            <w:shd w:val="clear" w:color="auto" w:fill="auto"/>
            <w:noWrap/>
            <w:vAlign w:val="bottom"/>
            <w:hideMark/>
          </w:tcPr>
          <w:p w14:paraId="5F35AA2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1.91</w:t>
            </w:r>
          </w:p>
        </w:tc>
        <w:tc>
          <w:tcPr>
            <w:tcW w:w="1032" w:type="dxa"/>
            <w:tcBorders>
              <w:top w:val="nil"/>
              <w:left w:val="nil"/>
              <w:bottom w:val="single" w:sz="4" w:space="0" w:color="auto"/>
              <w:right w:val="single" w:sz="4" w:space="0" w:color="auto"/>
            </w:tcBorders>
            <w:shd w:val="clear" w:color="auto" w:fill="auto"/>
            <w:noWrap/>
            <w:vAlign w:val="bottom"/>
            <w:hideMark/>
          </w:tcPr>
          <w:p w14:paraId="28CCDEA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2.17%</w:t>
            </w:r>
          </w:p>
        </w:tc>
      </w:tr>
      <w:tr w:rsidR="00F12387" w:rsidRPr="00F12387" w14:paraId="5CBC4A2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319BC5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elytra</w:t>
            </w:r>
          </w:p>
        </w:tc>
        <w:tc>
          <w:tcPr>
            <w:tcW w:w="2224" w:type="dxa"/>
            <w:tcBorders>
              <w:top w:val="nil"/>
              <w:left w:val="nil"/>
              <w:bottom w:val="single" w:sz="4" w:space="0" w:color="auto"/>
              <w:right w:val="single" w:sz="4" w:space="0" w:color="auto"/>
            </w:tcBorders>
            <w:shd w:val="clear" w:color="auto" w:fill="auto"/>
            <w:noWrap/>
            <w:vAlign w:val="bottom"/>
            <w:hideMark/>
          </w:tcPr>
          <w:p w14:paraId="2D5BAB8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Slender Wheatgrass</w:t>
            </w:r>
          </w:p>
        </w:tc>
        <w:tc>
          <w:tcPr>
            <w:tcW w:w="2538" w:type="dxa"/>
            <w:tcBorders>
              <w:top w:val="nil"/>
              <w:left w:val="nil"/>
              <w:bottom w:val="single" w:sz="4" w:space="0" w:color="auto"/>
              <w:right w:val="single" w:sz="4" w:space="0" w:color="auto"/>
            </w:tcBorders>
            <w:shd w:val="clear" w:color="000000" w:fill="A9D08E"/>
            <w:noWrap/>
            <w:vAlign w:val="bottom"/>
            <w:hideMark/>
          </w:tcPr>
          <w:p w14:paraId="30D023E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Elymus </w:t>
            </w:r>
            <w:proofErr w:type="spellStart"/>
            <w:r w:rsidRPr="00F12387">
              <w:rPr>
                <w:rFonts w:ascii="Arial" w:eastAsia="Times New Roman" w:hAnsi="Arial" w:cs="Arial"/>
                <w:color w:val="000000"/>
                <w:sz w:val="20"/>
                <w:szCs w:val="20"/>
              </w:rPr>
              <w:t>trachycaulus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3BFEF25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0.26</w:t>
            </w:r>
          </w:p>
        </w:tc>
        <w:tc>
          <w:tcPr>
            <w:tcW w:w="940" w:type="dxa"/>
            <w:tcBorders>
              <w:top w:val="nil"/>
              <w:left w:val="nil"/>
              <w:bottom w:val="single" w:sz="4" w:space="0" w:color="auto"/>
              <w:right w:val="single" w:sz="4" w:space="0" w:color="auto"/>
            </w:tcBorders>
            <w:shd w:val="clear" w:color="auto" w:fill="auto"/>
            <w:noWrap/>
            <w:vAlign w:val="bottom"/>
            <w:hideMark/>
          </w:tcPr>
          <w:p w14:paraId="3EA3089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0.79%</w:t>
            </w:r>
          </w:p>
        </w:tc>
        <w:tc>
          <w:tcPr>
            <w:tcW w:w="1032" w:type="dxa"/>
            <w:tcBorders>
              <w:top w:val="nil"/>
              <w:left w:val="nil"/>
              <w:bottom w:val="single" w:sz="4" w:space="0" w:color="auto"/>
              <w:right w:val="single" w:sz="4" w:space="0" w:color="auto"/>
            </w:tcBorders>
            <w:shd w:val="clear" w:color="auto" w:fill="auto"/>
            <w:noWrap/>
            <w:vAlign w:val="bottom"/>
            <w:hideMark/>
          </w:tcPr>
          <w:p w14:paraId="0F8E13D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0.66</w:t>
            </w:r>
          </w:p>
        </w:tc>
        <w:tc>
          <w:tcPr>
            <w:tcW w:w="1032" w:type="dxa"/>
            <w:tcBorders>
              <w:top w:val="nil"/>
              <w:left w:val="nil"/>
              <w:bottom w:val="single" w:sz="4" w:space="0" w:color="auto"/>
              <w:right w:val="single" w:sz="4" w:space="0" w:color="auto"/>
            </w:tcBorders>
            <w:shd w:val="clear" w:color="auto" w:fill="auto"/>
            <w:noWrap/>
            <w:vAlign w:val="bottom"/>
            <w:hideMark/>
          </w:tcPr>
          <w:p w14:paraId="589B669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0.75%</w:t>
            </w:r>
          </w:p>
        </w:tc>
      </w:tr>
      <w:tr w:rsidR="00F12387" w:rsidRPr="00F12387" w14:paraId="4B75F691"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E75D86B"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koemac</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49FC4C5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June Grass</w:t>
            </w:r>
          </w:p>
        </w:tc>
        <w:tc>
          <w:tcPr>
            <w:tcW w:w="2538" w:type="dxa"/>
            <w:tcBorders>
              <w:top w:val="nil"/>
              <w:left w:val="nil"/>
              <w:bottom w:val="single" w:sz="4" w:space="0" w:color="auto"/>
              <w:right w:val="single" w:sz="4" w:space="0" w:color="auto"/>
            </w:tcBorders>
            <w:shd w:val="clear" w:color="000000" w:fill="A9D08E"/>
            <w:noWrap/>
            <w:vAlign w:val="bottom"/>
            <w:hideMark/>
          </w:tcPr>
          <w:p w14:paraId="6F08E29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Koeleria </w:t>
            </w:r>
            <w:proofErr w:type="spellStart"/>
            <w:r w:rsidRPr="00F12387">
              <w:rPr>
                <w:rFonts w:ascii="Arial" w:eastAsia="Times New Roman" w:hAnsi="Arial" w:cs="Arial"/>
                <w:color w:val="000000"/>
                <w:sz w:val="20"/>
                <w:szCs w:val="20"/>
              </w:rPr>
              <w:t>macrantha</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42EAB8C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0.22</w:t>
            </w:r>
          </w:p>
        </w:tc>
        <w:tc>
          <w:tcPr>
            <w:tcW w:w="940" w:type="dxa"/>
            <w:tcBorders>
              <w:top w:val="nil"/>
              <w:left w:val="nil"/>
              <w:bottom w:val="single" w:sz="4" w:space="0" w:color="auto"/>
              <w:right w:val="single" w:sz="4" w:space="0" w:color="auto"/>
            </w:tcBorders>
            <w:shd w:val="clear" w:color="auto" w:fill="auto"/>
            <w:noWrap/>
            <w:vAlign w:val="bottom"/>
            <w:hideMark/>
          </w:tcPr>
          <w:p w14:paraId="41BF0A4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0.67%</w:t>
            </w:r>
          </w:p>
        </w:tc>
        <w:tc>
          <w:tcPr>
            <w:tcW w:w="1032" w:type="dxa"/>
            <w:tcBorders>
              <w:top w:val="nil"/>
              <w:left w:val="nil"/>
              <w:bottom w:val="single" w:sz="4" w:space="0" w:color="auto"/>
              <w:right w:val="single" w:sz="4" w:space="0" w:color="auto"/>
            </w:tcBorders>
            <w:shd w:val="clear" w:color="auto" w:fill="auto"/>
            <w:noWrap/>
            <w:vAlign w:val="bottom"/>
            <w:hideMark/>
          </w:tcPr>
          <w:p w14:paraId="58FAF04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16.16</w:t>
            </w:r>
          </w:p>
        </w:tc>
        <w:tc>
          <w:tcPr>
            <w:tcW w:w="1032" w:type="dxa"/>
            <w:tcBorders>
              <w:top w:val="nil"/>
              <w:left w:val="nil"/>
              <w:bottom w:val="single" w:sz="4" w:space="0" w:color="auto"/>
              <w:right w:val="single" w:sz="4" w:space="0" w:color="auto"/>
            </w:tcBorders>
            <w:shd w:val="clear" w:color="auto" w:fill="auto"/>
            <w:noWrap/>
            <w:vAlign w:val="bottom"/>
            <w:hideMark/>
          </w:tcPr>
          <w:p w14:paraId="2DE1D35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18.39%</w:t>
            </w:r>
          </w:p>
        </w:tc>
      </w:tr>
      <w:tr w:rsidR="00F12387" w:rsidRPr="00F12387" w14:paraId="59AD2BC1"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780EE79"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panvir</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78494A9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Switchgrass</w:t>
            </w:r>
          </w:p>
        </w:tc>
        <w:tc>
          <w:tcPr>
            <w:tcW w:w="2538" w:type="dxa"/>
            <w:tcBorders>
              <w:top w:val="nil"/>
              <w:left w:val="nil"/>
              <w:bottom w:val="single" w:sz="4" w:space="0" w:color="auto"/>
              <w:right w:val="single" w:sz="4" w:space="0" w:color="auto"/>
            </w:tcBorders>
            <w:shd w:val="clear" w:color="000000" w:fill="A9D08E"/>
            <w:noWrap/>
            <w:vAlign w:val="bottom"/>
            <w:hideMark/>
          </w:tcPr>
          <w:p w14:paraId="2EC0146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Panicum virgatum</w:t>
            </w:r>
          </w:p>
        </w:tc>
        <w:tc>
          <w:tcPr>
            <w:tcW w:w="724" w:type="dxa"/>
            <w:tcBorders>
              <w:top w:val="nil"/>
              <w:left w:val="nil"/>
              <w:bottom w:val="single" w:sz="4" w:space="0" w:color="auto"/>
              <w:right w:val="single" w:sz="4" w:space="0" w:color="auto"/>
            </w:tcBorders>
            <w:shd w:val="clear" w:color="auto" w:fill="auto"/>
            <w:noWrap/>
            <w:vAlign w:val="bottom"/>
            <w:hideMark/>
          </w:tcPr>
          <w:p w14:paraId="19DC2D4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0.13</w:t>
            </w:r>
          </w:p>
        </w:tc>
        <w:tc>
          <w:tcPr>
            <w:tcW w:w="940" w:type="dxa"/>
            <w:tcBorders>
              <w:top w:val="nil"/>
              <w:left w:val="nil"/>
              <w:bottom w:val="single" w:sz="4" w:space="0" w:color="auto"/>
              <w:right w:val="single" w:sz="4" w:space="0" w:color="auto"/>
            </w:tcBorders>
            <w:shd w:val="clear" w:color="auto" w:fill="auto"/>
            <w:noWrap/>
            <w:vAlign w:val="bottom"/>
            <w:hideMark/>
          </w:tcPr>
          <w:p w14:paraId="2EC2DA6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0.39%</w:t>
            </w:r>
          </w:p>
        </w:tc>
        <w:tc>
          <w:tcPr>
            <w:tcW w:w="1032" w:type="dxa"/>
            <w:tcBorders>
              <w:top w:val="nil"/>
              <w:left w:val="nil"/>
              <w:bottom w:val="single" w:sz="4" w:space="0" w:color="auto"/>
              <w:right w:val="single" w:sz="4" w:space="0" w:color="auto"/>
            </w:tcBorders>
            <w:shd w:val="clear" w:color="auto" w:fill="auto"/>
            <w:noWrap/>
            <w:vAlign w:val="bottom"/>
            <w:hideMark/>
          </w:tcPr>
          <w:p w14:paraId="0441B62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0.67</w:t>
            </w:r>
          </w:p>
        </w:tc>
        <w:tc>
          <w:tcPr>
            <w:tcW w:w="1032" w:type="dxa"/>
            <w:tcBorders>
              <w:top w:val="nil"/>
              <w:left w:val="nil"/>
              <w:bottom w:val="single" w:sz="4" w:space="0" w:color="auto"/>
              <w:right w:val="single" w:sz="4" w:space="0" w:color="auto"/>
            </w:tcBorders>
            <w:shd w:val="clear" w:color="auto" w:fill="auto"/>
            <w:noWrap/>
            <w:vAlign w:val="bottom"/>
            <w:hideMark/>
          </w:tcPr>
          <w:p w14:paraId="67F5BEF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0.76%</w:t>
            </w:r>
          </w:p>
        </w:tc>
      </w:tr>
      <w:tr w:rsidR="00F12387" w:rsidRPr="00F12387" w14:paraId="7C55C5BB"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3747343"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schsco</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0576BD9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Little Bluestem</w:t>
            </w:r>
          </w:p>
        </w:tc>
        <w:tc>
          <w:tcPr>
            <w:tcW w:w="2538" w:type="dxa"/>
            <w:tcBorders>
              <w:top w:val="nil"/>
              <w:left w:val="nil"/>
              <w:bottom w:val="single" w:sz="4" w:space="0" w:color="auto"/>
              <w:right w:val="single" w:sz="4" w:space="0" w:color="auto"/>
            </w:tcBorders>
            <w:shd w:val="clear" w:color="000000" w:fill="A9D08E"/>
            <w:noWrap/>
            <w:vAlign w:val="bottom"/>
            <w:hideMark/>
          </w:tcPr>
          <w:p w14:paraId="3754F592"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Schizachyrium</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scoparium</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515DAB1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1.25</w:t>
            </w:r>
          </w:p>
        </w:tc>
        <w:tc>
          <w:tcPr>
            <w:tcW w:w="940" w:type="dxa"/>
            <w:tcBorders>
              <w:top w:val="nil"/>
              <w:left w:val="nil"/>
              <w:bottom w:val="single" w:sz="4" w:space="0" w:color="auto"/>
              <w:right w:val="single" w:sz="4" w:space="0" w:color="auto"/>
            </w:tcBorders>
            <w:shd w:val="clear" w:color="auto" w:fill="auto"/>
            <w:noWrap/>
            <w:vAlign w:val="bottom"/>
            <w:hideMark/>
          </w:tcPr>
          <w:p w14:paraId="1179956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3.79%</w:t>
            </w:r>
          </w:p>
        </w:tc>
        <w:tc>
          <w:tcPr>
            <w:tcW w:w="1032" w:type="dxa"/>
            <w:tcBorders>
              <w:top w:val="nil"/>
              <w:left w:val="nil"/>
              <w:bottom w:val="single" w:sz="4" w:space="0" w:color="auto"/>
              <w:right w:val="single" w:sz="4" w:space="0" w:color="auto"/>
            </w:tcBorders>
            <w:shd w:val="clear" w:color="auto" w:fill="auto"/>
            <w:noWrap/>
            <w:vAlign w:val="bottom"/>
            <w:hideMark/>
          </w:tcPr>
          <w:p w14:paraId="0064860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6.89</w:t>
            </w:r>
          </w:p>
        </w:tc>
        <w:tc>
          <w:tcPr>
            <w:tcW w:w="1032" w:type="dxa"/>
            <w:tcBorders>
              <w:top w:val="nil"/>
              <w:left w:val="nil"/>
              <w:bottom w:val="single" w:sz="4" w:space="0" w:color="auto"/>
              <w:right w:val="single" w:sz="4" w:space="0" w:color="auto"/>
            </w:tcBorders>
            <w:shd w:val="clear" w:color="auto" w:fill="auto"/>
            <w:noWrap/>
            <w:vAlign w:val="bottom"/>
            <w:hideMark/>
          </w:tcPr>
          <w:p w14:paraId="2B76819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7.84%</w:t>
            </w:r>
          </w:p>
        </w:tc>
      </w:tr>
      <w:tr w:rsidR="00F12387" w:rsidRPr="00F12387" w14:paraId="644C8DD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18FA3A7"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sornut</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7E85F5F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Indiangrass</w:t>
            </w:r>
          </w:p>
        </w:tc>
        <w:tc>
          <w:tcPr>
            <w:tcW w:w="2538" w:type="dxa"/>
            <w:tcBorders>
              <w:top w:val="nil"/>
              <w:left w:val="nil"/>
              <w:bottom w:val="single" w:sz="4" w:space="0" w:color="auto"/>
              <w:right w:val="single" w:sz="4" w:space="0" w:color="auto"/>
            </w:tcBorders>
            <w:shd w:val="clear" w:color="000000" w:fill="A9D08E"/>
            <w:noWrap/>
            <w:vAlign w:val="bottom"/>
            <w:hideMark/>
          </w:tcPr>
          <w:p w14:paraId="7438E1D6"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Sorghastrum</w:t>
            </w:r>
            <w:proofErr w:type="spellEnd"/>
            <w:r w:rsidRPr="00F12387">
              <w:rPr>
                <w:rFonts w:ascii="Arial" w:eastAsia="Times New Roman" w:hAnsi="Arial" w:cs="Arial"/>
                <w:color w:val="000000"/>
                <w:sz w:val="20"/>
                <w:szCs w:val="20"/>
              </w:rPr>
              <w:t xml:space="preserve"> nutans</w:t>
            </w:r>
          </w:p>
        </w:tc>
        <w:tc>
          <w:tcPr>
            <w:tcW w:w="724" w:type="dxa"/>
            <w:tcBorders>
              <w:top w:val="nil"/>
              <w:left w:val="nil"/>
              <w:bottom w:val="single" w:sz="4" w:space="0" w:color="auto"/>
              <w:right w:val="single" w:sz="4" w:space="0" w:color="auto"/>
            </w:tcBorders>
            <w:shd w:val="clear" w:color="auto" w:fill="auto"/>
            <w:noWrap/>
            <w:vAlign w:val="bottom"/>
            <w:hideMark/>
          </w:tcPr>
          <w:p w14:paraId="453CB87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0.25</w:t>
            </w:r>
          </w:p>
        </w:tc>
        <w:tc>
          <w:tcPr>
            <w:tcW w:w="940" w:type="dxa"/>
            <w:tcBorders>
              <w:top w:val="nil"/>
              <w:left w:val="nil"/>
              <w:bottom w:val="single" w:sz="4" w:space="0" w:color="auto"/>
              <w:right w:val="single" w:sz="4" w:space="0" w:color="auto"/>
            </w:tcBorders>
            <w:shd w:val="clear" w:color="auto" w:fill="auto"/>
            <w:noWrap/>
            <w:vAlign w:val="bottom"/>
            <w:hideMark/>
          </w:tcPr>
          <w:p w14:paraId="457D927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0.76%</w:t>
            </w:r>
          </w:p>
        </w:tc>
        <w:tc>
          <w:tcPr>
            <w:tcW w:w="1032" w:type="dxa"/>
            <w:tcBorders>
              <w:top w:val="nil"/>
              <w:left w:val="nil"/>
              <w:bottom w:val="single" w:sz="4" w:space="0" w:color="auto"/>
              <w:right w:val="single" w:sz="4" w:space="0" w:color="auto"/>
            </w:tcBorders>
            <w:shd w:val="clear" w:color="auto" w:fill="auto"/>
            <w:noWrap/>
            <w:vAlign w:val="bottom"/>
            <w:hideMark/>
          </w:tcPr>
          <w:p w14:paraId="7D687B8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1.10</w:t>
            </w:r>
          </w:p>
        </w:tc>
        <w:tc>
          <w:tcPr>
            <w:tcW w:w="1032" w:type="dxa"/>
            <w:tcBorders>
              <w:top w:val="nil"/>
              <w:left w:val="nil"/>
              <w:bottom w:val="single" w:sz="4" w:space="0" w:color="auto"/>
              <w:right w:val="single" w:sz="4" w:space="0" w:color="auto"/>
            </w:tcBorders>
            <w:shd w:val="clear" w:color="auto" w:fill="auto"/>
            <w:noWrap/>
            <w:vAlign w:val="bottom"/>
            <w:hideMark/>
          </w:tcPr>
          <w:p w14:paraId="2C58C36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1.25%</w:t>
            </w:r>
          </w:p>
        </w:tc>
      </w:tr>
      <w:tr w:rsidR="00F12387" w:rsidRPr="00F12387" w14:paraId="55A69CD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7EA9259"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spocry</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2CFD5C5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Sand Dropseed</w:t>
            </w:r>
          </w:p>
        </w:tc>
        <w:tc>
          <w:tcPr>
            <w:tcW w:w="2538" w:type="dxa"/>
            <w:tcBorders>
              <w:top w:val="nil"/>
              <w:left w:val="nil"/>
              <w:bottom w:val="single" w:sz="4" w:space="0" w:color="auto"/>
              <w:right w:val="single" w:sz="4" w:space="0" w:color="auto"/>
            </w:tcBorders>
            <w:shd w:val="clear" w:color="000000" w:fill="A9D08E"/>
            <w:noWrap/>
            <w:vAlign w:val="bottom"/>
            <w:hideMark/>
          </w:tcPr>
          <w:p w14:paraId="0ECC40B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Sporobolus </w:t>
            </w:r>
            <w:proofErr w:type="spellStart"/>
            <w:r w:rsidRPr="00F12387">
              <w:rPr>
                <w:rFonts w:ascii="Arial" w:eastAsia="Times New Roman" w:hAnsi="Arial" w:cs="Arial"/>
                <w:color w:val="000000"/>
                <w:sz w:val="20"/>
                <w:szCs w:val="20"/>
              </w:rPr>
              <w:t>cryptandrus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4CDA539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6EC49AE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077820E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2.20</w:t>
            </w:r>
          </w:p>
        </w:tc>
        <w:tc>
          <w:tcPr>
            <w:tcW w:w="1032" w:type="dxa"/>
            <w:tcBorders>
              <w:top w:val="nil"/>
              <w:left w:val="nil"/>
              <w:bottom w:val="single" w:sz="4" w:space="0" w:color="auto"/>
              <w:right w:val="single" w:sz="4" w:space="0" w:color="auto"/>
            </w:tcBorders>
            <w:shd w:val="clear" w:color="auto" w:fill="auto"/>
            <w:noWrap/>
            <w:vAlign w:val="bottom"/>
            <w:hideMark/>
          </w:tcPr>
          <w:p w14:paraId="26924D2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2.51%</w:t>
            </w:r>
          </w:p>
        </w:tc>
      </w:tr>
      <w:tr w:rsidR="00F12387" w:rsidRPr="00F12387" w14:paraId="214258E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3DBF5D7"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spohet</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58731E1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Dropseed</w:t>
            </w:r>
          </w:p>
        </w:tc>
        <w:tc>
          <w:tcPr>
            <w:tcW w:w="2538" w:type="dxa"/>
            <w:tcBorders>
              <w:top w:val="nil"/>
              <w:left w:val="nil"/>
              <w:bottom w:val="single" w:sz="4" w:space="0" w:color="auto"/>
              <w:right w:val="single" w:sz="4" w:space="0" w:color="auto"/>
            </w:tcBorders>
            <w:shd w:val="clear" w:color="000000" w:fill="A9D08E"/>
            <w:noWrap/>
            <w:vAlign w:val="bottom"/>
            <w:hideMark/>
          </w:tcPr>
          <w:p w14:paraId="5356EC5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Sporobolus </w:t>
            </w:r>
            <w:proofErr w:type="spellStart"/>
            <w:r w:rsidRPr="00F12387">
              <w:rPr>
                <w:rFonts w:ascii="Arial" w:eastAsia="Times New Roman" w:hAnsi="Arial" w:cs="Arial"/>
                <w:color w:val="000000"/>
                <w:sz w:val="20"/>
                <w:szCs w:val="20"/>
              </w:rPr>
              <w:t>heterolepis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48B4B89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0.10</w:t>
            </w:r>
          </w:p>
        </w:tc>
        <w:tc>
          <w:tcPr>
            <w:tcW w:w="940" w:type="dxa"/>
            <w:tcBorders>
              <w:top w:val="nil"/>
              <w:left w:val="nil"/>
              <w:bottom w:val="single" w:sz="4" w:space="0" w:color="auto"/>
              <w:right w:val="single" w:sz="4" w:space="0" w:color="auto"/>
            </w:tcBorders>
            <w:shd w:val="clear" w:color="auto" w:fill="auto"/>
            <w:noWrap/>
            <w:vAlign w:val="bottom"/>
            <w:hideMark/>
          </w:tcPr>
          <w:p w14:paraId="581A588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0.30%</w:t>
            </w:r>
          </w:p>
        </w:tc>
        <w:tc>
          <w:tcPr>
            <w:tcW w:w="1032" w:type="dxa"/>
            <w:tcBorders>
              <w:top w:val="nil"/>
              <w:left w:val="nil"/>
              <w:bottom w:val="single" w:sz="4" w:space="0" w:color="auto"/>
              <w:right w:val="single" w:sz="4" w:space="0" w:color="auto"/>
            </w:tcBorders>
            <w:shd w:val="clear" w:color="auto" w:fill="auto"/>
            <w:noWrap/>
            <w:vAlign w:val="bottom"/>
            <w:hideMark/>
          </w:tcPr>
          <w:p w14:paraId="05C37E4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0.59</w:t>
            </w:r>
          </w:p>
        </w:tc>
        <w:tc>
          <w:tcPr>
            <w:tcW w:w="1032" w:type="dxa"/>
            <w:tcBorders>
              <w:top w:val="nil"/>
              <w:left w:val="nil"/>
              <w:bottom w:val="single" w:sz="4" w:space="0" w:color="auto"/>
              <w:right w:val="single" w:sz="4" w:space="0" w:color="auto"/>
            </w:tcBorders>
            <w:shd w:val="clear" w:color="auto" w:fill="auto"/>
            <w:noWrap/>
            <w:vAlign w:val="bottom"/>
            <w:hideMark/>
          </w:tcPr>
          <w:p w14:paraId="37CF281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0.67%</w:t>
            </w:r>
          </w:p>
        </w:tc>
      </w:tr>
      <w:tr w:rsidR="00F12387" w:rsidRPr="00F12387" w14:paraId="36662E45"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09590EC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38999E7F"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786247AC"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Grasses Subtotal</w:t>
            </w:r>
          </w:p>
        </w:tc>
        <w:tc>
          <w:tcPr>
            <w:tcW w:w="724" w:type="dxa"/>
            <w:tcBorders>
              <w:top w:val="nil"/>
              <w:left w:val="nil"/>
              <w:bottom w:val="single" w:sz="4" w:space="0" w:color="auto"/>
              <w:right w:val="single" w:sz="4" w:space="0" w:color="auto"/>
            </w:tcBorders>
            <w:shd w:val="clear" w:color="000000" w:fill="9BC2E6"/>
            <w:noWrap/>
            <w:vAlign w:val="bottom"/>
            <w:hideMark/>
          </w:tcPr>
          <w:p w14:paraId="6D649402"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6.00</w:t>
            </w:r>
          </w:p>
        </w:tc>
        <w:tc>
          <w:tcPr>
            <w:tcW w:w="940" w:type="dxa"/>
            <w:tcBorders>
              <w:top w:val="nil"/>
              <w:left w:val="nil"/>
              <w:bottom w:val="single" w:sz="4" w:space="0" w:color="auto"/>
              <w:right w:val="single" w:sz="4" w:space="0" w:color="auto"/>
            </w:tcBorders>
            <w:shd w:val="clear" w:color="000000" w:fill="9BC2E6"/>
            <w:noWrap/>
            <w:vAlign w:val="bottom"/>
            <w:hideMark/>
          </w:tcPr>
          <w:p w14:paraId="468EFAC0"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18.18%</w:t>
            </w:r>
          </w:p>
        </w:tc>
        <w:tc>
          <w:tcPr>
            <w:tcW w:w="1032" w:type="dxa"/>
            <w:tcBorders>
              <w:top w:val="nil"/>
              <w:left w:val="nil"/>
              <w:bottom w:val="single" w:sz="4" w:space="0" w:color="auto"/>
              <w:right w:val="single" w:sz="4" w:space="0" w:color="auto"/>
            </w:tcBorders>
            <w:shd w:val="clear" w:color="000000" w:fill="9BC2E6"/>
            <w:noWrap/>
            <w:vAlign w:val="bottom"/>
            <w:hideMark/>
          </w:tcPr>
          <w:p w14:paraId="7636727C"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42.79</w:t>
            </w:r>
          </w:p>
        </w:tc>
        <w:tc>
          <w:tcPr>
            <w:tcW w:w="1032" w:type="dxa"/>
            <w:tcBorders>
              <w:top w:val="nil"/>
              <w:left w:val="nil"/>
              <w:bottom w:val="single" w:sz="4" w:space="0" w:color="auto"/>
              <w:right w:val="single" w:sz="4" w:space="0" w:color="auto"/>
            </w:tcBorders>
            <w:shd w:val="clear" w:color="000000" w:fill="9BC2E6"/>
            <w:noWrap/>
            <w:vAlign w:val="bottom"/>
            <w:hideMark/>
          </w:tcPr>
          <w:p w14:paraId="21D2FDFA"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48.68%</w:t>
            </w:r>
          </w:p>
        </w:tc>
      </w:tr>
      <w:tr w:rsidR="00F12387" w:rsidRPr="00F12387" w14:paraId="70942E70"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909EDBA"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carbre</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5CF1B82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Plains Oval Sedge</w:t>
            </w:r>
          </w:p>
        </w:tc>
        <w:tc>
          <w:tcPr>
            <w:tcW w:w="2538" w:type="dxa"/>
            <w:tcBorders>
              <w:top w:val="nil"/>
              <w:left w:val="nil"/>
              <w:bottom w:val="single" w:sz="4" w:space="0" w:color="auto"/>
              <w:right w:val="single" w:sz="4" w:space="0" w:color="auto"/>
            </w:tcBorders>
            <w:shd w:val="clear" w:color="000000" w:fill="A9D08E"/>
            <w:noWrap/>
            <w:vAlign w:val="bottom"/>
            <w:hideMark/>
          </w:tcPr>
          <w:p w14:paraId="4033C515"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Carex</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brevior</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1D1C809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0.25</w:t>
            </w:r>
          </w:p>
        </w:tc>
        <w:tc>
          <w:tcPr>
            <w:tcW w:w="940" w:type="dxa"/>
            <w:tcBorders>
              <w:top w:val="nil"/>
              <w:left w:val="nil"/>
              <w:bottom w:val="single" w:sz="4" w:space="0" w:color="auto"/>
              <w:right w:val="single" w:sz="4" w:space="0" w:color="auto"/>
            </w:tcBorders>
            <w:shd w:val="clear" w:color="auto" w:fill="auto"/>
            <w:noWrap/>
            <w:vAlign w:val="bottom"/>
            <w:hideMark/>
          </w:tcPr>
          <w:p w14:paraId="697DB8A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0.76%</w:t>
            </w:r>
          </w:p>
        </w:tc>
        <w:tc>
          <w:tcPr>
            <w:tcW w:w="1032" w:type="dxa"/>
            <w:tcBorders>
              <w:top w:val="nil"/>
              <w:left w:val="nil"/>
              <w:bottom w:val="single" w:sz="4" w:space="0" w:color="auto"/>
              <w:right w:val="single" w:sz="4" w:space="0" w:color="auto"/>
            </w:tcBorders>
            <w:shd w:val="clear" w:color="auto" w:fill="auto"/>
            <w:noWrap/>
            <w:vAlign w:val="bottom"/>
            <w:hideMark/>
          </w:tcPr>
          <w:p w14:paraId="1722E24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2.66</w:t>
            </w:r>
          </w:p>
        </w:tc>
        <w:tc>
          <w:tcPr>
            <w:tcW w:w="1032" w:type="dxa"/>
            <w:tcBorders>
              <w:top w:val="nil"/>
              <w:left w:val="nil"/>
              <w:bottom w:val="single" w:sz="4" w:space="0" w:color="auto"/>
              <w:right w:val="single" w:sz="4" w:space="0" w:color="auto"/>
            </w:tcBorders>
            <w:shd w:val="clear" w:color="auto" w:fill="auto"/>
            <w:noWrap/>
            <w:vAlign w:val="bottom"/>
            <w:hideMark/>
          </w:tcPr>
          <w:p w14:paraId="304F62F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3.03%</w:t>
            </w:r>
          </w:p>
        </w:tc>
      </w:tr>
      <w:tr w:rsidR="00F12387" w:rsidRPr="00F12387" w14:paraId="2313A727"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7FC66BE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7A27835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58E79B5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Sedges &amp; Rushes Subtotal</w:t>
            </w:r>
          </w:p>
        </w:tc>
        <w:tc>
          <w:tcPr>
            <w:tcW w:w="724" w:type="dxa"/>
            <w:tcBorders>
              <w:top w:val="nil"/>
              <w:left w:val="nil"/>
              <w:bottom w:val="single" w:sz="4" w:space="0" w:color="auto"/>
              <w:right w:val="single" w:sz="4" w:space="0" w:color="auto"/>
            </w:tcBorders>
            <w:shd w:val="clear" w:color="000000" w:fill="9BC2E6"/>
            <w:noWrap/>
            <w:vAlign w:val="bottom"/>
            <w:hideMark/>
          </w:tcPr>
          <w:p w14:paraId="4840467B"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0.25</w:t>
            </w:r>
          </w:p>
        </w:tc>
        <w:tc>
          <w:tcPr>
            <w:tcW w:w="940" w:type="dxa"/>
            <w:tcBorders>
              <w:top w:val="nil"/>
              <w:left w:val="nil"/>
              <w:bottom w:val="single" w:sz="4" w:space="0" w:color="auto"/>
              <w:right w:val="single" w:sz="4" w:space="0" w:color="auto"/>
            </w:tcBorders>
            <w:shd w:val="clear" w:color="000000" w:fill="9BC2E6"/>
            <w:noWrap/>
            <w:vAlign w:val="bottom"/>
            <w:hideMark/>
          </w:tcPr>
          <w:p w14:paraId="64DCB4A6"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0.76%</w:t>
            </w:r>
          </w:p>
        </w:tc>
        <w:tc>
          <w:tcPr>
            <w:tcW w:w="1032" w:type="dxa"/>
            <w:tcBorders>
              <w:top w:val="nil"/>
              <w:left w:val="nil"/>
              <w:bottom w:val="single" w:sz="4" w:space="0" w:color="auto"/>
              <w:right w:val="single" w:sz="4" w:space="0" w:color="auto"/>
            </w:tcBorders>
            <w:shd w:val="clear" w:color="000000" w:fill="9BC2E6"/>
            <w:noWrap/>
            <w:vAlign w:val="bottom"/>
            <w:hideMark/>
          </w:tcPr>
          <w:p w14:paraId="020B2797"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2.66</w:t>
            </w:r>
          </w:p>
        </w:tc>
        <w:tc>
          <w:tcPr>
            <w:tcW w:w="1032" w:type="dxa"/>
            <w:tcBorders>
              <w:top w:val="nil"/>
              <w:left w:val="nil"/>
              <w:bottom w:val="single" w:sz="4" w:space="0" w:color="auto"/>
              <w:right w:val="single" w:sz="4" w:space="0" w:color="auto"/>
            </w:tcBorders>
            <w:shd w:val="clear" w:color="000000" w:fill="9BC2E6"/>
            <w:noWrap/>
            <w:vAlign w:val="bottom"/>
            <w:hideMark/>
          </w:tcPr>
          <w:p w14:paraId="00FA72D3"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3.03%</w:t>
            </w:r>
          </w:p>
        </w:tc>
      </w:tr>
      <w:tr w:rsidR="00F12387" w:rsidRPr="00F12387" w14:paraId="0C59DFF6"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4004ADE"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achmil</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5A450D3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Common Yarrow</w:t>
            </w:r>
          </w:p>
        </w:tc>
        <w:tc>
          <w:tcPr>
            <w:tcW w:w="2538" w:type="dxa"/>
            <w:tcBorders>
              <w:top w:val="nil"/>
              <w:left w:val="nil"/>
              <w:bottom w:val="single" w:sz="4" w:space="0" w:color="auto"/>
              <w:right w:val="single" w:sz="4" w:space="0" w:color="auto"/>
            </w:tcBorders>
            <w:shd w:val="clear" w:color="000000" w:fill="A9D08E"/>
            <w:noWrap/>
            <w:vAlign w:val="bottom"/>
            <w:hideMark/>
          </w:tcPr>
          <w:p w14:paraId="2617C73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Achillea millefolium</w:t>
            </w:r>
          </w:p>
        </w:tc>
        <w:tc>
          <w:tcPr>
            <w:tcW w:w="724" w:type="dxa"/>
            <w:tcBorders>
              <w:top w:val="nil"/>
              <w:left w:val="nil"/>
              <w:bottom w:val="single" w:sz="4" w:space="0" w:color="auto"/>
              <w:right w:val="single" w:sz="4" w:space="0" w:color="auto"/>
            </w:tcBorders>
            <w:shd w:val="clear" w:color="auto" w:fill="auto"/>
            <w:noWrap/>
            <w:vAlign w:val="bottom"/>
            <w:hideMark/>
          </w:tcPr>
          <w:p w14:paraId="7941C46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0.01</w:t>
            </w:r>
          </w:p>
        </w:tc>
        <w:tc>
          <w:tcPr>
            <w:tcW w:w="940" w:type="dxa"/>
            <w:tcBorders>
              <w:top w:val="nil"/>
              <w:left w:val="nil"/>
              <w:bottom w:val="single" w:sz="4" w:space="0" w:color="auto"/>
              <w:right w:val="single" w:sz="4" w:space="0" w:color="auto"/>
            </w:tcBorders>
            <w:shd w:val="clear" w:color="auto" w:fill="auto"/>
            <w:noWrap/>
            <w:vAlign w:val="bottom"/>
            <w:hideMark/>
          </w:tcPr>
          <w:p w14:paraId="6B19355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1032" w:type="dxa"/>
            <w:tcBorders>
              <w:top w:val="nil"/>
              <w:left w:val="nil"/>
              <w:bottom w:val="single" w:sz="4" w:space="0" w:color="auto"/>
              <w:right w:val="single" w:sz="4" w:space="0" w:color="auto"/>
            </w:tcBorders>
            <w:shd w:val="clear" w:color="auto" w:fill="auto"/>
            <w:noWrap/>
            <w:vAlign w:val="bottom"/>
            <w:hideMark/>
          </w:tcPr>
          <w:p w14:paraId="4120C0E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0.65</w:t>
            </w:r>
          </w:p>
        </w:tc>
        <w:tc>
          <w:tcPr>
            <w:tcW w:w="1032" w:type="dxa"/>
            <w:tcBorders>
              <w:top w:val="nil"/>
              <w:left w:val="nil"/>
              <w:bottom w:val="single" w:sz="4" w:space="0" w:color="auto"/>
              <w:right w:val="single" w:sz="4" w:space="0" w:color="auto"/>
            </w:tcBorders>
            <w:shd w:val="clear" w:color="auto" w:fill="auto"/>
            <w:noWrap/>
            <w:vAlign w:val="bottom"/>
            <w:hideMark/>
          </w:tcPr>
          <w:p w14:paraId="2094ED2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0.74%</w:t>
            </w:r>
          </w:p>
        </w:tc>
      </w:tr>
      <w:tr w:rsidR="00F12387" w:rsidRPr="00F12387" w14:paraId="5435317A"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EF19317"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agafoe</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44A4D86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Anise Hyssop</w:t>
            </w:r>
          </w:p>
        </w:tc>
        <w:tc>
          <w:tcPr>
            <w:tcW w:w="2538" w:type="dxa"/>
            <w:tcBorders>
              <w:top w:val="nil"/>
              <w:left w:val="nil"/>
              <w:bottom w:val="single" w:sz="4" w:space="0" w:color="auto"/>
              <w:right w:val="single" w:sz="4" w:space="0" w:color="auto"/>
            </w:tcBorders>
            <w:shd w:val="clear" w:color="000000" w:fill="A9D08E"/>
            <w:noWrap/>
            <w:vAlign w:val="bottom"/>
            <w:hideMark/>
          </w:tcPr>
          <w:p w14:paraId="030FF69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Agastache </w:t>
            </w:r>
            <w:proofErr w:type="spellStart"/>
            <w:r w:rsidRPr="00F12387">
              <w:rPr>
                <w:rFonts w:ascii="Arial" w:eastAsia="Times New Roman" w:hAnsi="Arial" w:cs="Arial"/>
                <w:color w:val="000000"/>
                <w:sz w:val="20"/>
                <w:szCs w:val="20"/>
              </w:rPr>
              <w:t>foeniculum</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1672BCC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4AC1805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7C65EDE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0.99</w:t>
            </w:r>
          </w:p>
        </w:tc>
        <w:tc>
          <w:tcPr>
            <w:tcW w:w="1032" w:type="dxa"/>
            <w:tcBorders>
              <w:top w:val="nil"/>
              <w:left w:val="nil"/>
              <w:bottom w:val="single" w:sz="4" w:space="0" w:color="auto"/>
              <w:right w:val="single" w:sz="4" w:space="0" w:color="auto"/>
            </w:tcBorders>
            <w:shd w:val="clear" w:color="auto" w:fill="auto"/>
            <w:noWrap/>
            <w:vAlign w:val="bottom"/>
            <w:hideMark/>
          </w:tcPr>
          <w:p w14:paraId="6D64EF1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1.13%</w:t>
            </w:r>
          </w:p>
        </w:tc>
      </w:tr>
      <w:tr w:rsidR="00F12387" w:rsidRPr="00F12387" w14:paraId="1FC24677"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7B7F35C"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allste</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06FFC254"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Onion</w:t>
            </w:r>
          </w:p>
        </w:tc>
        <w:tc>
          <w:tcPr>
            <w:tcW w:w="2538" w:type="dxa"/>
            <w:tcBorders>
              <w:top w:val="nil"/>
              <w:left w:val="nil"/>
              <w:bottom w:val="single" w:sz="4" w:space="0" w:color="auto"/>
              <w:right w:val="single" w:sz="4" w:space="0" w:color="auto"/>
            </w:tcBorders>
            <w:shd w:val="clear" w:color="000000" w:fill="A9D08E"/>
            <w:noWrap/>
            <w:vAlign w:val="bottom"/>
            <w:hideMark/>
          </w:tcPr>
          <w:p w14:paraId="1CCEC2F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Allium </w:t>
            </w:r>
            <w:proofErr w:type="spellStart"/>
            <w:r w:rsidRPr="00F12387">
              <w:rPr>
                <w:rFonts w:ascii="Arial" w:eastAsia="Times New Roman" w:hAnsi="Arial" w:cs="Arial"/>
                <w:color w:val="000000"/>
                <w:sz w:val="20"/>
                <w:szCs w:val="20"/>
              </w:rPr>
              <w:t>stellatum</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43197AC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43872AD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33831CB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14:paraId="47F1BBE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r>
      <w:tr w:rsidR="00F12387" w:rsidRPr="00F12387" w14:paraId="31D8B762"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B1609E2"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amocan</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17862E5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Lead Plant</w:t>
            </w:r>
          </w:p>
        </w:tc>
        <w:tc>
          <w:tcPr>
            <w:tcW w:w="2538" w:type="dxa"/>
            <w:tcBorders>
              <w:top w:val="nil"/>
              <w:left w:val="nil"/>
              <w:bottom w:val="single" w:sz="4" w:space="0" w:color="auto"/>
              <w:right w:val="single" w:sz="4" w:space="0" w:color="auto"/>
            </w:tcBorders>
            <w:shd w:val="clear" w:color="000000" w:fill="A9D08E"/>
            <w:noWrap/>
            <w:vAlign w:val="bottom"/>
            <w:hideMark/>
          </w:tcPr>
          <w:p w14:paraId="11ABC62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Amorpha </w:t>
            </w:r>
            <w:proofErr w:type="spellStart"/>
            <w:r w:rsidRPr="00F12387">
              <w:rPr>
                <w:rFonts w:ascii="Arial" w:eastAsia="Times New Roman" w:hAnsi="Arial" w:cs="Arial"/>
                <w:color w:val="000000"/>
                <w:sz w:val="20"/>
                <w:szCs w:val="20"/>
              </w:rPr>
              <w:t>canescens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05DD68C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940" w:type="dxa"/>
            <w:tcBorders>
              <w:top w:val="nil"/>
              <w:left w:val="nil"/>
              <w:bottom w:val="single" w:sz="4" w:space="0" w:color="auto"/>
              <w:right w:val="single" w:sz="4" w:space="0" w:color="auto"/>
            </w:tcBorders>
            <w:shd w:val="clear" w:color="auto" w:fill="auto"/>
            <w:noWrap/>
            <w:vAlign w:val="bottom"/>
            <w:hideMark/>
          </w:tcPr>
          <w:p w14:paraId="1A09BDB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0.27%</w:t>
            </w:r>
          </w:p>
        </w:tc>
        <w:tc>
          <w:tcPr>
            <w:tcW w:w="1032" w:type="dxa"/>
            <w:tcBorders>
              <w:top w:val="nil"/>
              <w:left w:val="nil"/>
              <w:bottom w:val="single" w:sz="4" w:space="0" w:color="auto"/>
              <w:right w:val="single" w:sz="4" w:space="0" w:color="auto"/>
            </w:tcBorders>
            <w:shd w:val="clear" w:color="auto" w:fill="auto"/>
            <w:noWrap/>
            <w:vAlign w:val="bottom"/>
            <w:hideMark/>
          </w:tcPr>
          <w:p w14:paraId="02BFCF0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0.40</w:t>
            </w:r>
          </w:p>
        </w:tc>
        <w:tc>
          <w:tcPr>
            <w:tcW w:w="1032" w:type="dxa"/>
            <w:tcBorders>
              <w:top w:val="nil"/>
              <w:left w:val="nil"/>
              <w:bottom w:val="single" w:sz="4" w:space="0" w:color="auto"/>
              <w:right w:val="single" w:sz="4" w:space="0" w:color="auto"/>
            </w:tcBorders>
            <w:shd w:val="clear" w:color="auto" w:fill="auto"/>
            <w:noWrap/>
            <w:vAlign w:val="bottom"/>
            <w:hideMark/>
          </w:tcPr>
          <w:p w14:paraId="1376063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0.46%</w:t>
            </w:r>
          </w:p>
        </w:tc>
      </w:tr>
      <w:tr w:rsidR="00F12387" w:rsidRPr="00F12387" w14:paraId="6890CF36"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20007D0"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anevir</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36388EE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Tall Thimbleweed</w:t>
            </w:r>
          </w:p>
        </w:tc>
        <w:tc>
          <w:tcPr>
            <w:tcW w:w="2538" w:type="dxa"/>
            <w:tcBorders>
              <w:top w:val="nil"/>
              <w:left w:val="nil"/>
              <w:bottom w:val="single" w:sz="4" w:space="0" w:color="auto"/>
              <w:right w:val="single" w:sz="4" w:space="0" w:color="auto"/>
            </w:tcBorders>
            <w:shd w:val="clear" w:color="000000" w:fill="A9D08E"/>
            <w:noWrap/>
            <w:vAlign w:val="bottom"/>
            <w:hideMark/>
          </w:tcPr>
          <w:p w14:paraId="32CF13A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Anemone virginiana</w:t>
            </w:r>
          </w:p>
        </w:tc>
        <w:tc>
          <w:tcPr>
            <w:tcW w:w="724" w:type="dxa"/>
            <w:tcBorders>
              <w:top w:val="nil"/>
              <w:left w:val="nil"/>
              <w:bottom w:val="single" w:sz="4" w:space="0" w:color="auto"/>
              <w:right w:val="single" w:sz="4" w:space="0" w:color="auto"/>
            </w:tcBorders>
            <w:shd w:val="clear" w:color="auto" w:fill="auto"/>
            <w:noWrap/>
            <w:vAlign w:val="bottom"/>
            <w:hideMark/>
          </w:tcPr>
          <w:p w14:paraId="4D32B2E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0.02</w:t>
            </w:r>
          </w:p>
        </w:tc>
        <w:tc>
          <w:tcPr>
            <w:tcW w:w="940" w:type="dxa"/>
            <w:tcBorders>
              <w:top w:val="nil"/>
              <w:left w:val="nil"/>
              <w:bottom w:val="single" w:sz="4" w:space="0" w:color="auto"/>
              <w:right w:val="single" w:sz="4" w:space="0" w:color="auto"/>
            </w:tcBorders>
            <w:shd w:val="clear" w:color="auto" w:fill="auto"/>
            <w:noWrap/>
            <w:vAlign w:val="bottom"/>
            <w:hideMark/>
          </w:tcPr>
          <w:p w14:paraId="2D07418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1032" w:type="dxa"/>
            <w:tcBorders>
              <w:top w:val="nil"/>
              <w:left w:val="nil"/>
              <w:bottom w:val="single" w:sz="4" w:space="0" w:color="auto"/>
              <w:right w:val="single" w:sz="4" w:space="0" w:color="auto"/>
            </w:tcBorders>
            <w:shd w:val="clear" w:color="auto" w:fill="auto"/>
            <w:noWrap/>
            <w:vAlign w:val="bottom"/>
            <w:hideMark/>
          </w:tcPr>
          <w:p w14:paraId="0A6AD06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0.21</w:t>
            </w:r>
          </w:p>
        </w:tc>
        <w:tc>
          <w:tcPr>
            <w:tcW w:w="1032" w:type="dxa"/>
            <w:tcBorders>
              <w:top w:val="nil"/>
              <w:left w:val="nil"/>
              <w:bottom w:val="single" w:sz="4" w:space="0" w:color="auto"/>
              <w:right w:val="single" w:sz="4" w:space="0" w:color="auto"/>
            </w:tcBorders>
            <w:shd w:val="clear" w:color="auto" w:fill="auto"/>
            <w:noWrap/>
            <w:vAlign w:val="bottom"/>
            <w:hideMark/>
          </w:tcPr>
          <w:p w14:paraId="3ECA0E3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0.23%</w:t>
            </w:r>
          </w:p>
        </w:tc>
      </w:tr>
      <w:tr w:rsidR="00F12387" w:rsidRPr="00F12387" w14:paraId="31084E0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66A4C65"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artlud</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0701894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Sage</w:t>
            </w:r>
          </w:p>
        </w:tc>
        <w:tc>
          <w:tcPr>
            <w:tcW w:w="2538" w:type="dxa"/>
            <w:tcBorders>
              <w:top w:val="nil"/>
              <w:left w:val="nil"/>
              <w:bottom w:val="single" w:sz="4" w:space="0" w:color="auto"/>
              <w:right w:val="single" w:sz="4" w:space="0" w:color="auto"/>
            </w:tcBorders>
            <w:shd w:val="clear" w:color="000000" w:fill="A9D08E"/>
            <w:noWrap/>
            <w:vAlign w:val="bottom"/>
            <w:hideMark/>
          </w:tcPr>
          <w:p w14:paraId="60FB057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Artemisia </w:t>
            </w:r>
            <w:proofErr w:type="spellStart"/>
            <w:r w:rsidRPr="00F12387">
              <w:rPr>
                <w:rFonts w:ascii="Arial" w:eastAsia="Times New Roman" w:hAnsi="Arial" w:cs="Arial"/>
                <w:color w:val="000000"/>
                <w:sz w:val="20"/>
                <w:szCs w:val="20"/>
              </w:rPr>
              <w:t>ludoviciana</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190D55F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0.02</w:t>
            </w:r>
          </w:p>
        </w:tc>
        <w:tc>
          <w:tcPr>
            <w:tcW w:w="940" w:type="dxa"/>
            <w:tcBorders>
              <w:top w:val="nil"/>
              <w:left w:val="nil"/>
              <w:bottom w:val="single" w:sz="4" w:space="0" w:color="auto"/>
              <w:right w:val="single" w:sz="4" w:space="0" w:color="auto"/>
            </w:tcBorders>
            <w:shd w:val="clear" w:color="auto" w:fill="auto"/>
            <w:noWrap/>
            <w:vAlign w:val="bottom"/>
            <w:hideMark/>
          </w:tcPr>
          <w:p w14:paraId="2FA78CE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1032" w:type="dxa"/>
            <w:tcBorders>
              <w:top w:val="nil"/>
              <w:left w:val="nil"/>
              <w:bottom w:val="single" w:sz="4" w:space="0" w:color="auto"/>
              <w:right w:val="single" w:sz="4" w:space="0" w:color="auto"/>
            </w:tcBorders>
            <w:shd w:val="clear" w:color="auto" w:fill="auto"/>
            <w:noWrap/>
            <w:vAlign w:val="bottom"/>
            <w:hideMark/>
          </w:tcPr>
          <w:p w14:paraId="49D4EE7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1.84</w:t>
            </w:r>
          </w:p>
        </w:tc>
        <w:tc>
          <w:tcPr>
            <w:tcW w:w="1032" w:type="dxa"/>
            <w:tcBorders>
              <w:top w:val="nil"/>
              <w:left w:val="nil"/>
              <w:bottom w:val="single" w:sz="4" w:space="0" w:color="auto"/>
              <w:right w:val="single" w:sz="4" w:space="0" w:color="auto"/>
            </w:tcBorders>
            <w:shd w:val="clear" w:color="auto" w:fill="auto"/>
            <w:noWrap/>
            <w:vAlign w:val="bottom"/>
            <w:hideMark/>
          </w:tcPr>
          <w:p w14:paraId="08CCBA0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2.09%</w:t>
            </w:r>
          </w:p>
        </w:tc>
      </w:tr>
      <w:tr w:rsidR="00F12387" w:rsidRPr="00F12387" w14:paraId="05A5BB1B"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6A5DC40"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ascver</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43FF533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Whorled Milkweed</w:t>
            </w:r>
          </w:p>
        </w:tc>
        <w:tc>
          <w:tcPr>
            <w:tcW w:w="2538" w:type="dxa"/>
            <w:tcBorders>
              <w:top w:val="nil"/>
              <w:left w:val="nil"/>
              <w:bottom w:val="single" w:sz="4" w:space="0" w:color="auto"/>
              <w:right w:val="single" w:sz="4" w:space="0" w:color="auto"/>
            </w:tcBorders>
            <w:shd w:val="clear" w:color="000000" w:fill="A9D08E"/>
            <w:noWrap/>
            <w:vAlign w:val="bottom"/>
            <w:hideMark/>
          </w:tcPr>
          <w:p w14:paraId="35279E19"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Asclepias </w:t>
            </w:r>
            <w:proofErr w:type="spellStart"/>
            <w:r w:rsidRPr="00F12387">
              <w:rPr>
                <w:rFonts w:ascii="Arial" w:eastAsia="Times New Roman" w:hAnsi="Arial" w:cs="Arial"/>
                <w:color w:val="000000"/>
                <w:sz w:val="20"/>
                <w:szCs w:val="20"/>
              </w:rPr>
              <w:t>verticillata</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4BE9055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457FAA4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4DB482C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0.16</w:t>
            </w:r>
          </w:p>
        </w:tc>
        <w:tc>
          <w:tcPr>
            <w:tcW w:w="1032" w:type="dxa"/>
            <w:tcBorders>
              <w:top w:val="nil"/>
              <w:left w:val="nil"/>
              <w:bottom w:val="single" w:sz="4" w:space="0" w:color="auto"/>
              <w:right w:val="single" w:sz="4" w:space="0" w:color="auto"/>
            </w:tcBorders>
            <w:shd w:val="clear" w:color="auto" w:fill="auto"/>
            <w:noWrap/>
            <w:vAlign w:val="bottom"/>
            <w:hideMark/>
          </w:tcPr>
          <w:p w14:paraId="210987A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r>
      <w:tr w:rsidR="00F12387" w:rsidRPr="00F12387" w14:paraId="212BFFFD"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207BF71"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astcan</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3E483A94"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Canada Milkvetch</w:t>
            </w:r>
          </w:p>
        </w:tc>
        <w:tc>
          <w:tcPr>
            <w:tcW w:w="2538" w:type="dxa"/>
            <w:tcBorders>
              <w:top w:val="nil"/>
              <w:left w:val="nil"/>
              <w:bottom w:val="single" w:sz="4" w:space="0" w:color="auto"/>
              <w:right w:val="single" w:sz="4" w:space="0" w:color="auto"/>
            </w:tcBorders>
            <w:shd w:val="clear" w:color="000000" w:fill="A9D08E"/>
            <w:noWrap/>
            <w:vAlign w:val="bottom"/>
            <w:hideMark/>
          </w:tcPr>
          <w:p w14:paraId="73FC022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Astragalus canadensis</w:t>
            </w:r>
          </w:p>
        </w:tc>
        <w:tc>
          <w:tcPr>
            <w:tcW w:w="724" w:type="dxa"/>
            <w:tcBorders>
              <w:top w:val="nil"/>
              <w:left w:val="nil"/>
              <w:bottom w:val="single" w:sz="4" w:space="0" w:color="auto"/>
              <w:right w:val="single" w:sz="4" w:space="0" w:color="auto"/>
            </w:tcBorders>
            <w:shd w:val="clear" w:color="auto" w:fill="auto"/>
            <w:noWrap/>
            <w:vAlign w:val="bottom"/>
            <w:hideMark/>
          </w:tcPr>
          <w:p w14:paraId="25EB697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53399E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6490A40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0.37</w:t>
            </w:r>
          </w:p>
        </w:tc>
        <w:tc>
          <w:tcPr>
            <w:tcW w:w="1032" w:type="dxa"/>
            <w:tcBorders>
              <w:top w:val="nil"/>
              <w:left w:val="nil"/>
              <w:bottom w:val="single" w:sz="4" w:space="0" w:color="auto"/>
              <w:right w:val="single" w:sz="4" w:space="0" w:color="auto"/>
            </w:tcBorders>
            <w:shd w:val="clear" w:color="auto" w:fill="auto"/>
            <w:noWrap/>
            <w:vAlign w:val="bottom"/>
            <w:hideMark/>
          </w:tcPr>
          <w:p w14:paraId="1BF1AAA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0.43%</w:t>
            </w:r>
          </w:p>
        </w:tc>
      </w:tr>
      <w:tr w:rsidR="00F12387" w:rsidRPr="00F12387" w14:paraId="4CEE4919"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0085F68"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dalcan</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4C40F21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White Prairie Clover</w:t>
            </w:r>
          </w:p>
        </w:tc>
        <w:tc>
          <w:tcPr>
            <w:tcW w:w="2538" w:type="dxa"/>
            <w:tcBorders>
              <w:top w:val="nil"/>
              <w:left w:val="nil"/>
              <w:bottom w:val="single" w:sz="4" w:space="0" w:color="auto"/>
              <w:right w:val="single" w:sz="4" w:space="0" w:color="auto"/>
            </w:tcBorders>
            <w:shd w:val="clear" w:color="000000" w:fill="A9D08E"/>
            <w:noWrap/>
            <w:vAlign w:val="bottom"/>
            <w:hideMark/>
          </w:tcPr>
          <w:p w14:paraId="7294705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Dalea candida</w:t>
            </w:r>
          </w:p>
        </w:tc>
        <w:tc>
          <w:tcPr>
            <w:tcW w:w="724" w:type="dxa"/>
            <w:tcBorders>
              <w:top w:val="nil"/>
              <w:left w:val="nil"/>
              <w:bottom w:val="single" w:sz="4" w:space="0" w:color="auto"/>
              <w:right w:val="single" w:sz="4" w:space="0" w:color="auto"/>
            </w:tcBorders>
            <w:shd w:val="clear" w:color="auto" w:fill="auto"/>
            <w:noWrap/>
            <w:vAlign w:val="bottom"/>
            <w:hideMark/>
          </w:tcPr>
          <w:p w14:paraId="43A6897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0.19</w:t>
            </w:r>
          </w:p>
        </w:tc>
        <w:tc>
          <w:tcPr>
            <w:tcW w:w="940" w:type="dxa"/>
            <w:tcBorders>
              <w:top w:val="nil"/>
              <w:left w:val="nil"/>
              <w:bottom w:val="single" w:sz="4" w:space="0" w:color="auto"/>
              <w:right w:val="single" w:sz="4" w:space="0" w:color="auto"/>
            </w:tcBorders>
            <w:shd w:val="clear" w:color="auto" w:fill="auto"/>
            <w:noWrap/>
            <w:vAlign w:val="bottom"/>
            <w:hideMark/>
          </w:tcPr>
          <w:p w14:paraId="66F4FF6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0.58%</w:t>
            </w:r>
          </w:p>
        </w:tc>
        <w:tc>
          <w:tcPr>
            <w:tcW w:w="1032" w:type="dxa"/>
            <w:tcBorders>
              <w:top w:val="nil"/>
              <w:left w:val="nil"/>
              <w:bottom w:val="single" w:sz="4" w:space="0" w:color="auto"/>
              <w:right w:val="single" w:sz="4" w:space="0" w:color="auto"/>
            </w:tcBorders>
            <w:shd w:val="clear" w:color="auto" w:fill="auto"/>
            <w:noWrap/>
            <w:vAlign w:val="bottom"/>
            <w:hideMark/>
          </w:tcPr>
          <w:p w14:paraId="5FF837A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1.33</w:t>
            </w:r>
          </w:p>
        </w:tc>
        <w:tc>
          <w:tcPr>
            <w:tcW w:w="1032" w:type="dxa"/>
            <w:tcBorders>
              <w:top w:val="nil"/>
              <w:left w:val="nil"/>
              <w:bottom w:val="single" w:sz="4" w:space="0" w:color="auto"/>
              <w:right w:val="single" w:sz="4" w:space="0" w:color="auto"/>
            </w:tcBorders>
            <w:shd w:val="clear" w:color="auto" w:fill="auto"/>
            <w:noWrap/>
            <w:vAlign w:val="bottom"/>
            <w:hideMark/>
          </w:tcPr>
          <w:p w14:paraId="507C55A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1.51%</w:t>
            </w:r>
          </w:p>
        </w:tc>
      </w:tr>
      <w:tr w:rsidR="00F12387" w:rsidRPr="00F12387" w14:paraId="695027E2"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C7719B9"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dalpur</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3022BFA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Purple Prairie Clover</w:t>
            </w:r>
          </w:p>
        </w:tc>
        <w:tc>
          <w:tcPr>
            <w:tcW w:w="2538" w:type="dxa"/>
            <w:tcBorders>
              <w:top w:val="nil"/>
              <w:left w:val="nil"/>
              <w:bottom w:val="single" w:sz="4" w:space="0" w:color="auto"/>
              <w:right w:val="single" w:sz="4" w:space="0" w:color="auto"/>
            </w:tcBorders>
            <w:shd w:val="clear" w:color="000000" w:fill="A9D08E"/>
            <w:noWrap/>
            <w:vAlign w:val="bottom"/>
            <w:hideMark/>
          </w:tcPr>
          <w:p w14:paraId="401F1D7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Dalea purpurea</w:t>
            </w:r>
          </w:p>
        </w:tc>
        <w:tc>
          <w:tcPr>
            <w:tcW w:w="724" w:type="dxa"/>
            <w:tcBorders>
              <w:top w:val="nil"/>
              <w:left w:val="nil"/>
              <w:bottom w:val="single" w:sz="4" w:space="0" w:color="auto"/>
              <w:right w:val="single" w:sz="4" w:space="0" w:color="auto"/>
            </w:tcBorders>
            <w:shd w:val="clear" w:color="auto" w:fill="auto"/>
            <w:noWrap/>
            <w:vAlign w:val="bottom"/>
            <w:hideMark/>
          </w:tcPr>
          <w:p w14:paraId="04B9659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0.25</w:t>
            </w:r>
          </w:p>
        </w:tc>
        <w:tc>
          <w:tcPr>
            <w:tcW w:w="940" w:type="dxa"/>
            <w:tcBorders>
              <w:top w:val="nil"/>
              <w:left w:val="nil"/>
              <w:bottom w:val="single" w:sz="4" w:space="0" w:color="auto"/>
              <w:right w:val="single" w:sz="4" w:space="0" w:color="auto"/>
            </w:tcBorders>
            <w:shd w:val="clear" w:color="auto" w:fill="auto"/>
            <w:noWrap/>
            <w:vAlign w:val="bottom"/>
            <w:hideMark/>
          </w:tcPr>
          <w:p w14:paraId="577B677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0.76%</w:t>
            </w:r>
          </w:p>
        </w:tc>
        <w:tc>
          <w:tcPr>
            <w:tcW w:w="1032" w:type="dxa"/>
            <w:tcBorders>
              <w:top w:val="nil"/>
              <w:left w:val="nil"/>
              <w:bottom w:val="single" w:sz="4" w:space="0" w:color="auto"/>
              <w:right w:val="single" w:sz="4" w:space="0" w:color="auto"/>
            </w:tcBorders>
            <w:shd w:val="clear" w:color="auto" w:fill="auto"/>
            <w:noWrap/>
            <w:vAlign w:val="bottom"/>
            <w:hideMark/>
          </w:tcPr>
          <w:p w14:paraId="343DF62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1.38</w:t>
            </w:r>
          </w:p>
        </w:tc>
        <w:tc>
          <w:tcPr>
            <w:tcW w:w="1032" w:type="dxa"/>
            <w:tcBorders>
              <w:top w:val="nil"/>
              <w:left w:val="nil"/>
              <w:bottom w:val="single" w:sz="4" w:space="0" w:color="auto"/>
              <w:right w:val="single" w:sz="4" w:space="0" w:color="auto"/>
            </w:tcBorders>
            <w:shd w:val="clear" w:color="auto" w:fill="auto"/>
            <w:noWrap/>
            <w:vAlign w:val="bottom"/>
            <w:hideMark/>
          </w:tcPr>
          <w:p w14:paraId="48185A6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1.57%</w:t>
            </w:r>
          </w:p>
        </w:tc>
      </w:tr>
      <w:tr w:rsidR="00F12387" w:rsidRPr="00F12387" w14:paraId="464F7E87"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4316F17A"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lastRenderedPageBreak/>
              <w:t>descan</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623AB02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Showy Tick Trefoil</w:t>
            </w:r>
          </w:p>
        </w:tc>
        <w:tc>
          <w:tcPr>
            <w:tcW w:w="2538" w:type="dxa"/>
            <w:tcBorders>
              <w:top w:val="nil"/>
              <w:left w:val="nil"/>
              <w:bottom w:val="single" w:sz="4" w:space="0" w:color="auto"/>
              <w:right w:val="single" w:sz="4" w:space="0" w:color="auto"/>
            </w:tcBorders>
            <w:shd w:val="clear" w:color="000000" w:fill="A9D08E"/>
            <w:noWrap/>
            <w:vAlign w:val="bottom"/>
            <w:hideMark/>
          </w:tcPr>
          <w:p w14:paraId="0083E7E4"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Desmodium</w:t>
            </w:r>
            <w:proofErr w:type="spellEnd"/>
            <w:r w:rsidRPr="00F12387">
              <w:rPr>
                <w:rFonts w:ascii="Arial" w:eastAsia="Times New Roman" w:hAnsi="Arial" w:cs="Arial"/>
                <w:color w:val="000000"/>
                <w:sz w:val="20"/>
                <w:szCs w:val="20"/>
              </w:rPr>
              <w:t xml:space="preserve"> canadense</w:t>
            </w:r>
          </w:p>
        </w:tc>
        <w:tc>
          <w:tcPr>
            <w:tcW w:w="724" w:type="dxa"/>
            <w:tcBorders>
              <w:top w:val="nil"/>
              <w:left w:val="nil"/>
              <w:bottom w:val="single" w:sz="4" w:space="0" w:color="auto"/>
              <w:right w:val="single" w:sz="4" w:space="0" w:color="auto"/>
            </w:tcBorders>
            <w:shd w:val="clear" w:color="auto" w:fill="auto"/>
            <w:noWrap/>
            <w:vAlign w:val="bottom"/>
            <w:hideMark/>
          </w:tcPr>
          <w:p w14:paraId="5F63B9A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0FD5C20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1681C96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0C196BF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0.14%</w:t>
            </w:r>
          </w:p>
        </w:tc>
      </w:tr>
      <w:tr w:rsidR="00F12387" w:rsidRPr="00F12387" w14:paraId="25FC8E8D"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2B5E9CA"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dryarg</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47D6E80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Cinquefoil</w:t>
            </w:r>
          </w:p>
        </w:tc>
        <w:tc>
          <w:tcPr>
            <w:tcW w:w="2538" w:type="dxa"/>
            <w:tcBorders>
              <w:top w:val="nil"/>
              <w:left w:val="nil"/>
              <w:bottom w:val="single" w:sz="4" w:space="0" w:color="auto"/>
              <w:right w:val="single" w:sz="4" w:space="0" w:color="auto"/>
            </w:tcBorders>
            <w:shd w:val="clear" w:color="000000" w:fill="A9D08E"/>
            <w:noWrap/>
            <w:vAlign w:val="bottom"/>
            <w:hideMark/>
          </w:tcPr>
          <w:p w14:paraId="1A9092A3"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Drymocallis</w:t>
            </w:r>
            <w:proofErr w:type="spellEnd"/>
            <w:r w:rsidRPr="00F12387">
              <w:rPr>
                <w:rFonts w:ascii="Arial" w:eastAsia="Times New Roman" w:hAnsi="Arial" w:cs="Arial"/>
                <w:color w:val="000000"/>
                <w:sz w:val="20"/>
                <w:szCs w:val="20"/>
              </w:rPr>
              <w:t xml:space="preserve"> arguta</w:t>
            </w:r>
          </w:p>
        </w:tc>
        <w:tc>
          <w:tcPr>
            <w:tcW w:w="724" w:type="dxa"/>
            <w:tcBorders>
              <w:top w:val="nil"/>
              <w:left w:val="nil"/>
              <w:bottom w:val="single" w:sz="4" w:space="0" w:color="auto"/>
              <w:right w:val="single" w:sz="4" w:space="0" w:color="auto"/>
            </w:tcBorders>
            <w:shd w:val="clear" w:color="auto" w:fill="auto"/>
            <w:noWrap/>
            <w:vAlign w:val="bottom"/>
            <w:hideMark/>
          </w:tcPr>
          <w:p w14:paraId="37564A3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0.01</w:t>
            </w:r>
          </w:p>
        </w:tc>
        <w:tc>
          <w:tcPr>
            <w:tcW w:w="940" w:type="dxa"/>
            <w:tcBorders>
              <w:top w:val="nil"/>
              <w:left w:val="nil"/>
              <w:bottom w:val="single" w:sz="4" w:space="0" w:color="auto"/>
              <w:right w:val="single" w:sz="4" w:space="0" w:color="auto"/>
            </w:tcBorders>
            <w:shd w:val="clear" w:color="auto" w:fill="auto"/>
            <w:noWrap/>
            <w:vAlign w:val="bottom"/>
            <w:hideMark/>
          </w:tcPr>
          <w:p w14:paraId="046AC38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1032" w:type="dxa"/>
            <w:tcBorders>
              <w:top w:val="nil"/>
              <w:left w:val="nil"/>
              <w:bottom w:val="single" w:sz="4" w:space="0" w:color="auto"/>
              <w:right w:val="single" w:sz="4" w:space="0" w:color="auto"/>
            </w:tcBorders>
            <w:shd w:val="clear" w:color="auto" w:fill="auto"/>
            <w:noWrap/>
            <w:vAlign w:val="bottom"/>
            <w:hideMark/>
          </w:tcPr>
          <w:p w14:paraId="0EDBE2D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0.84</w:t>
            </w:r>
          </w:p>
        </w:tc>
        <w:tc>
          <w:tcPr>
            <w:tcW w:w="1032" w:type="dxa"/>
            <w:tcBorders>
              <w:top w:val="nil"/>
              <w:left w:val="nil"/>
              <w:bottom w:val="single" w:sz="4" w:space="0" w:color="auto"/>
              <w:right w:val="single" w:sz="4" w:space="0" w:color="auto"/>
            </w:tcBorders>
            <w:shd w:val="clear" w:color="auto" w:fill="auto"/>
            <w:noWrap/>
            <w:vAlign w:val="bottom"/>
            <w:hideMark/>
          </w:tcPr>
          <w:p w14:paraId="24993E6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0.96%</w:t>
            </w:r>
          </w:p>
        </w:tc>
      </w:tr>
      <w:tr w:rsidR="00F12387" w:rsidRPr="00F12387" w14:paraId="4AA97ECA"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4F57E7A"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echang</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3902048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Narrow-leaved Coneflower</w:t>
            </w:r>
          </w:p>
        </w:tc>
        <w:tc>
          <w:tcPr>
            <w:tcW w:w="2538" w:type="dxa"/>
            <w:tcBorders>
              <w:top w:val="nil"/>
              <w:left w:val="nil"/>
              <w:bottom w:val="single" w:sz="4" w:space="0" w:color="auto"/>
              <w:right w:val="single" w:sz="4" w:space="0" w:color="auto"/>
            </w:tcBorders>
            <w:shd w:val="clear" w:color="000000" w:fill="A9D08E"/>
            <w:noWrap/>
            <w:vAlign w:val="bottom"/>
            <w:hideMark/>
          </w:tcPr>
          <w:p w14:paraId="1D75AD8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Echinacea angustifolia</w:t>
            </w:r>
          </w:p>
        </w:tc>
        <w:tc>
          <w:tcPr>
            <w:tcW w:w="724" w:type="dxa"/>
            <w:tcBorders>
              <w:top w:val="nil"/>
              <w:left w:val="nil"/>
              <w:bottom w:val="single" w:sz="4" w:space="0" w:color="auto"/>
              <w:right w:val="single" w:sz="4" w:space="0" w:color="auto"/>
            </w:tcBorders>
            <w:shd w:val="clear" w:color="auto" w:fill="auto"/>
            <w:noWrap/>
            <w:vAlign w:val="bottom"/>
            <w:hideMark/>
          </w:tcPr>
          <w:p w14:paraId="468FDEA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185C894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310A300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0.08</w:t>
            </w:r>
          </w:p>
        </w:tc>
        <w:tc>
          <w:tcPr>
            <w:tcW w:w="1032" w:type="dxa"/>
            <w:tcBorders>
              <w:top w:val="nil"/>
              <w:left w:val="nil"/>
              <w:bottom w:val="single" w:sz="4" w:space="0" w:color="auto"/>
              <w:right w:val="single" w:sz="4" w:space="0" w:color="auto"/>
            </w:tcBorders>
            <w:shd w:val="clear" w:color="auto" w:fill="auto"/>
            <w:noWrap/>
            <w:vAlign w:val="bottom"/>
            <w:hideMark/>
          </w:tcPr>
          <w:p w14:paraId="6EE10C8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r>
      <w:tr w:rsidR="00F12387" w:rsidRPr="00F12387" w14:paraId="5294313C"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6371E1A0"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helpau</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22E9939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Stiff Sunflower</w:t>
            </w:r>
          </w:p>
        </w:tc>
        <w:tc>
          <w:tcPr>
            <w:tcW w:w="2538" w:type="dxa"/>
            <w:tcBorders>
              <w:top w:val="nil"/>
              <w:left w:val="nil"/>
              <w:bottom w:val="single" w:sz="4" w:space="0" w:color="auto"/>
              <w:right w:val="single" w:sz="4" w:space="0" w:color="auto"/>
            </w:tcBorders>
            <w:shd w:val="clear" w:color="000000" w:fill="A9D08E"/>
            <w:noWrap/>
            <w:vAlign w:val="bottom"/>
            <w:hideMark/>
          </w:tcPr>
          <w:p w14:paraId="75CFC0D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Helianthus </w:t>
            </w:r>
            <w:proofErr w:type="spellStart"/>
            <w:r w:rsidRPr="00F12387">
              <w:rPr>
                <w:rFonts w:ascii="Arial" w:eastAsia="Times New Roman" w:hAnsi="Arial" w:cs="Arial"/>
                <w:color w:val="000000"/>
                <w:sz w:val="20"/>
                <w:szCs w:val="20"/>
              </w:rPr>
              <w:t>pauciflorus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3E2733F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0101FF8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44B47B4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1032" w:type="dxa"/>
            <w:tcBorders>
              <w:top w:val="nil"/>
              <w:left w:val="nil"/>
              <w:bottom w:val="single" w:sz="4" w:space="0" w:color="auto"/>
              <w:right w:val="single" w:sz="4" w:space="0" w:color="auto"/>
            </w:tcBorders>
            <w:shd w:val="clear" w:color="auto" w:fill="auto"/>
            <w:noWrap/>
            <w:vAlign w:val="bottom"/>
            <w:hideMark/>
          </w:tcPr>
          <w:p w14:paraId="5AE9B36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r>
      <w:tr w:rsidR="00F12387" w:rsidRPr="00F12387" w14:paraId="785B3CBA"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A31BB31"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helhel</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00E70BF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Ox-eye Sunflower</w:t>
            </w:r>
          </w:p>
        </w:tc>
        <w:tc>
          <w:tcPr>
            <w:tcW w:w="2538" w:type="dxa"/>
            <w:tcBorders>
              <w:top w:val="nil"/>
              <w:left w:val="nil"/>
              <w:bottom w:val="single" w:sz="4" w:space="0" w:color="auto"/>
              <w:right w:val="single" w:sz="4" w:space="0" w:color="auto"/>
            </w:tcBorders>
            <w:shd w:val="clear" w:color="000000" w:fill="A9D08E"/>
            <w:noWrap/>
            <w:vAlign w:val="bottom"/>
            <w:hideMark/>
          </w:tcPr>
          <w:p w14:paraId="3AC2A8F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Heliopsis </w:t>
            </w:r>
            <w:proofErr w:type="spellStart"/>
            <w:r w:rsidRPr="00F12387">
              <w:rPr>
                <w:rFonts w:ascii="Arial" w:eastAsia="Times New Roman" w:hAnsi="Arial" w:cs="Arial"/>
                <w:color w:val="000000"/>
                <w:sz w:val="20"/>
                <w:szCs w:val="20"/>
              </w:rPr>
              <w:t>helianthoides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58D817D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7516924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7DF78AF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0.14</w:t>
            </w:r>
          </w:p>
        </w:tc>
        <w:tc>
          <w:tcPr>
            <w:tcW w:w="1032" w:type="dxa"/>
            <w:tcBorders>
              <w:top w:val="nil"/>
              <w:left w:val="nil"/>
              <w:bottom w:val="single" w:sz="4" w:space="0" w:color="auto"/>
              <w:right w:val="single" w:sz="4" w:space="0" w:color="auto"/>
            </w:tcBorders>
            <w:shd w:val="clear" w:color="auto" w:fill="auto"/>
            <w:noWrap/>
            <w:vAlign w:val="bottom"/>
            <w:hideMark/>
          </w:tcPr>
          <w:p w14:paraId="1C9AC3E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0.16%</w:t>
            </w:r>
          </w:p>
        </w:tc>
      </w:tr>
      <w:tr w:rsidR="00F12387" w:rsidRPr="00F12387" w14:paraId="67686AA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F359F68"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hetvil</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2731521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Golden Aster</w:t>
            </w:r>
          </w:p>
        </w:tc>
        <w:tc>
          <w:tcPr>
            <w:tcW w:w="2538" w:type="dxa"/>
            <w:tcBorders>
              <w:top w:val="nil"/>
              <w:left w:val="nil"/>
              <w:bottom w:val="single" w:sz="4" w:space="0" w:color="auto"/>
              <w:right w:val="single" w:sz="4" w:space="0" w:color="auto"/>
            </w:tcBorders>
            <w:shd w:val="clear" w:color="000000" w:fill="A9D08E"/>
            <w:noWrap/>
            <w:vAlign w:val="bottom"/>
            <w:hideMark/>
          </w:tcPr>
          <w:p w14:paraId="2A27191E"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Heterotheca</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villosa</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38FB68C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0.01</w:t>
            </w:r>
          </w:p>
        </w:tc>
        <w:tc>
          <w:tcPr>
            <w:tcW w:w="940" w:type="dxa"/>
            <w:tcBorders>
              <w:top w:val="nil"/>
              <w:left w:val="nil"/>
              <w:bottom w:val="single" w:sz="4" w:space="0" w:color="auto"/>
              <w:right w:val="single" w:sz="4" w:space="0" w:color="auto"/>
            </w:tcBorders>
            <w:shd w:val="clear" w:color="auto" w:fill="auto"/>
            <w:noWrap/>
            <w:vAlign w:val="bottom"/>
            <w:hideMark/>
          </w:tcPr>
          <w:p w14:paraId="1FF005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1032" w:type="dxa"/>
            <w:tcBorders>
              <w:top w:val="nil"/>
              <w:left w:val="nil"/>
              <w:bottom w:val="single" w:sz="4" w:space="0" w:color="auto"/>
              <w:right w:val="single" w:sz="4" w:space="0" w:color="auto"/>
            </w:tcBorders>
            <w:shd w:val="clear" w:color="auto" w:fill="auto"/>
            <w:noWrap/>
            <w:vAlign w:val="bottom"/>
            <w:hideMark/>
          </w:tcPr>
          <w:p w14:paraId="561DF27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0.08</w:t>
            </w:r>
          </w:p>
        </w:tc>
        <w:tc>
          <w:tcPr>
            <w:tcW w:w="1032" w:type="dxa"/>
            <w:tcBorders>
              <w:top w:val="nil"/>
              <w:left w:val="nil"/>
              <w:bottom w:val="single" w:sz="4" w:space="0" w:color="auto"/>
              <w:right w:val="single" w:sz="4" w:space="0" w:color="auto"/>
            </w:tcBorders>
            <w:shd w:val="clear" w:color="auto" w:fill="auto"/>
            <w:noWrap/>
            <w:vAlign w:val="bottom"/>
            <w:hideMark/>
          </w:tcPr>
          <w:p w14:paraId="55EC5AE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r>
      <w:tr w:rsidR="00F12387" w:rsidRPr="00F12387" w14:paraId="467C145A"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BD01927"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heuric</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6961C58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Prairie Alumroot</w:t>
            </w:r>
          </w:p>
        </w:tc>
        <w:tc>
          <w:tcPr>
            <w:tcW w:w="2538" w:type="dxa"/>
            <w:tcBorders>
              <w:top w:val="nil"/>
              <w:left w:val="nil"/>
              <w:bottom w:val="single" w:sz="4" w:space="0" w:color="auto"/>
              <w:right w:val="single" w:sz="4" w:space="0" w:color="auto"/>
            </w:tcBorders>
            <w:shd w:val="clear" w:color="000000" w:fill="A9D08E"/>
            <w:noWrap/>
            <w:vAlign w:val="bottom"/>
            <w:hideMark/>
          </w:tcPr>
          <w:p w14:paraId="66E2EBFC"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Heuchera </w:t>
            </w:r>
            <w:proofErr w:type="spellStart"/>
            <w:r w:rsidRPr="00F12387">
              <w:rPr>
                <w:rFonts w:ascii="Arial" w:eastAsia="Times New Roman" w:hAnsi="Arial" w:cs="Arial"/>
                <w:color w:val="000000"/>
                <w:sz w:val="20"/>
                <w:szCs w:val="20"/>
              </w:rPr>
              <w:t>richardsonii</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2A8401A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0.02</w:t>
            </w:r>
          </w:p>
        </w:tc>
        <w:tc>
          <w:tcPr>
            <w:tcW w:w="940" w:type="dxa"/>
            <w:tcBorders>
              <w:top w:val="nil"/>
              <w:left w:val="nil"/>
              <w:bottom w:val="single" w:sz="4" w:space="0" w:color="auto"/>
              <w:right w:val="single" w:sz="4" w:space="0" w:color="auto"/>
            </w:tcBorders>
            <w:shd w:val="clear" w:color="auto" w:fill="auto"/>
            <w:noWrap/>
            <w:vAlign w:val="bottom"/>
            <w:hideMark/>
          </w:tcPr>
          <w:p w14:paraId="253F6A9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1032" w:type="dxa"/>
            <w:tcBorders>
              <w:top w:val="nil"/>
              <w:left w:val="nil"/>
              <w:bottom w:val="single" w:sz="4" w:space="0" w:color="auto"/>
              <w:right w:val="single" w:sz="4" w:space="0" w:color="auto"/>
            </w:tcBorders>
            <w:shd w:val="clear" w:color="auto" w:fill="auto"/>
            <w:noWrap/>
            <w:vAlign w:val="bottom"/>
            <w:hideMark/>
          </w:tcPr>
          <w:p w14:paraId="0CE8C1F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5.14</w:t>
            </w:r>
          </w:p>
        </w:tc>
        <w:tc>
          <w:tcPr>
            <w:tcW w:w="1032" w:type="dxa"/>
            <w:tcBorders>
              <w:top w:val="nil"/>
              <w:left w:val="nil"/>
              <w:bottom w:val="single" w:sz="4" w:space="0" w:color="auto"/>
              <w:right w:val="single" w:sz="4" w:space="0" w:color="auto"/>
            </w:tcBorders>
            <w:shd w:val="clear" w:color="auto" w:fill="auto"/>
            <w:noWrap/>
            <w:vAlign w:val="bottom"/>
            <w:hideMark/>
          </w:tcPr>
          <w:p w14:paraId="58656FB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5.85%</w:t>
            </w:r>
          </w:p>
        </w:tc>
      </w:tr>
      <w:tr w:rsidR="00F12387" w:rsidRPr="00F12387" w14:paraId="0A7F512F"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21259C1C"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liaasp</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3AE2A8B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Rough Blazing Star</w:t>
            </w:r>
          </w:p>
        </w:tc>
        <w:tc>
          <w:tcPr>
            <w:tcW w:w="2538" w:type="dxa"/>
            <w:tcBorders>
              <w:top w:val="nil"/>
              <w:left w:val="nil"/>
              <w:bottom w:val="single" w:sz="4" w:space="0" w:color="auto"/>
              <w:right w:val="single" w:sz="4" w:space="0" w:color="auto"/>
            </w:tcBorders>
            <w:shd w:val="clear" w:color="000000" w:fill="A9D08E"/>
            <w:noWrap/>
            <w:vAlign w:val="bottom"/>
            <w:hideMark/>
          </w:tcPr>
          <w:p w14:paraId="246FB72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Liatris aspera</w:t>
            </w:r>
          </w:p>
        </w:tc>
        <w:tc>
          <w:tcPr>
            <w:tcW w:w="724" w:type="dxa"/>
            <w:tcBorders>
              <w:top w:val="nil"/>
              <w:left w:val="nil"/>
              <w:bottom w:val="single" w:sz="4" w:space="0" w:color="auto"/>
              <w:right w:val="single" w:sz="4" w:space="0" w:color="auto"/>
            </w:tcBorders>
            <w:shd w:val="clear" w:color="auto" w:fill="auto"/>
            <w:noWrap/>
            <w:vAlign w:val="bottom"/>
            <w:hideMark/>
          </w:tcPr>
          <w:p w14:paraId="6CD1DC8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4A06424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6D2A1E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03EF32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0.20%</w:t>
            </w:r>
          </w:p>
        </w:tc>
      </w:tr>
      <w:tr w:rsidR="00F12387" w:rsidRPr="00F12387" w14:paraId="2A5AC75E"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15A2614"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liapun</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0A73BB5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Dotted Blazing Star</w:t>
            </w:r>
          </w:p>
        </w:tc>
        <w:tc>
          <w:tcPr>
            <w:tcW w:w="2538" w:type="dxa"/>
            <w:tcBorders>
              <w:top w:val="nil"/>
              <w:left w:val="nil"/>
              <w:bottom w:val="single" w:sz="4" w:space="0" w:color="auto"/>
              <w:right w:val="single" w:sz="4" w:space="0" w:color="auto"/>
            </w:tcBorders>
            <w:shd w:val="clear" w:color="000000" w:fill="A9D08E"/>
            <w:noWrap/>
            <w:vAlign w:val="bottom"/>
            <w:hideMark/>
          </w:tcPr>
          <w:p w14:paraId="14E6A59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Liatris punctata</w:t>
            </w:r>
          </w:p>
        </w:tc>
        <w:tc>
          <w:tcPr>
            <w:tcW w:w="724" w:type="dxa"/>
            <w:tcBorders>
              <w:top w:val="nil"/>
              <w:left w:val="nil"/>
              <w:bottom w:val="single" w:sz="4" w:space="0" w:color="auto"/>
              <w:right w:val="single" w:sz="4" w:space="0" w:color="auto"/>
            </w:tcBorders>
            <w:shd w:val="clear" w:color="auto" w:fill="auto"/>
            <w:noWrap/>
            <w:vAlign w:val="bottom"/>
            <w:hideMark/>
          </w:tcPr>
          <w:p w14:paraId="6F6A5E8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5EBA2DD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277EBE8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0.10</w:t>
            </w:r>
          </w:p>
        </w:tc>
        <w:tc>
          <w:tcPr>
            <w:tcW w:w="1032" w:type="dxa"/>
            <w:tcBorders>
              <w:top w:val="nil"/>
              <w:left w:val="nil"/>
              <w:bottom w:val="single" w:sz="4" w:space="0" w:color="auto"/>
              <w:right w:val="single" w:sz="4" w:space="0" w:color="auto"/>
            </w:tcBorders>
            <w:shd w:val="clear" w:color="auto" w:fill="auto"/>
            <w:noWrap/>
            <w:vAlign w:val="bottom"/>
            <w:hideMark/>
          </w:tcPr>
          <w:p w14:paraId="445FCD7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r>
      <w:tr w:rsidR="00F12387" w:rsidRPr="00F12387" w14:paraId="5AB1D0D5"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79F3943"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monfis</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3264B08F"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Wild Bergamot</w:t>
            </w:r>
          </w:p>
        </w:tc>
        <w:tc>
          <w:tcPr>
            <w:tcW w:w="2538" w:type="dxa"/>
            <w:tcBorders>
              <w:top w:val="nil"/>
              <w:left w:val="nil"/>
              <w:bottom w:val="single" w:sz="4" w:space="0" w:color="auto"/>
              <w:right w:val="single" w:sz="4" w:space="0" w:color="auto"/>
            </w:tcBorders>
            <w:shd w:val="clear" w:color="000000" w:fill="A9D08E"/>
            <w:noWrap/>
            <w:vAlign w:val="bottom"/>
            <w:hideMark/>
          </w:tcPr>
          <w:p w14:paraId="5BD6231B"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Monarda fistulosa</w:t>
            </w:r>
          </w:p>
        </w:tc>
        <w:tc>
          <w:tcPr>
            <w:tcW w:w="724" w:type="dxa"/>
            <w:tcBorders>
              <w:top w:val="nil"/>
              <w:left w:val="nil"/>
              <w:bottom w:val="single" w:sz="4" w:space="0" w:color="auto"/>
              <w:right w:val="single" w:sz="4" w:space="0" w:color="auto"/>
            </w:tcBorders>
            <w:shd w:val="clear" w:color="auto" w:fill="auto"/>
            <w:noWrap/>
            <w:vAlign w:val="bottom"/>
            <w:hideMark/>
          </w:tcPr>
          <w:p w14:paraId="410DB5C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c>
          <w:tcPr>
            <w:tcW w:w="940" w:type="dxa"/>
            <w:tcBorders>
              <w:top w:val="nil"/>
              <w:left w:val="nil"/>
              <w:bottom w:val="single" w:sz="4" w:space="0" w:color="auto"/>
              <w:right w:val="single" w:sz="4" w:space="0" w:color="auto"/>
            </w:tcBorders>
            <w:shd w:val="clear" w:color="auto" w:fill="auto"/>
            <w:noWrap/>
            <w:vAlign w:val="bottom"/>
            <w:hideMark/>
          </w:tcPr>
          <w:p w14:paraId="460252A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6229AA95"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1.29</w:t>
            </w:r>
          </w:p>
        </w:tc>
        <w:tc>
          <w:tcPr>
            <w:tcW w:w="1032" w:type="dxa"/>
            <w:tcBorders>
              <w:top w:val="nil"/>
              <w:left w:val="nil"/>
              <w:bottom w:val="single" w:sz="4" w:space="0" w:color="auto"/>
              <w:right w:val="single" w:sz="4" w:space="0" w:color="auto"/>
            </w:tcBorders>
            <w:shd w:val="clear" w:color="auto" w:fill="auto"/>
            <w:noWrap/>
            <w:vAlign w:val="bottom"/>
            <w:hideMark/>
          </w:tcPr>
          <w:p w14:paraId="7381EEC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1.46%</w:t>
            </w:r>
          </w:p>
        </w:tc>
      </w:tr>
      <w:tr w:rsidR="00F12387" w:rsidRPr="00F12387" w14:paraId="25E2D8D3"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2A5707D"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pengra</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4FD967F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Large-flowered Beardtongue</w:t>
            </w:r>
          </w:p>
        </w:tc>
        <w:tc>
          <w:tcPr>
            <w:tcW w:w="2538" w:type="dxa"/>
            <w:tcBorders>
              <w:top w:val="nil"/>
              <w:left w:val="nil"/>
              <w:bottom w:val="single" w:sz="4" w:space="0" w:color="auto"/>
              <w:right w:val="single" w:sz="4" w:space="0" w:color="auto"/>
            </w:tcBorders>
            <w:shd w:val="clear" w:color="000000" w:fill="A9D08E"/>
            <w:noWrap/>
            <w:vAlign w:val="bottom"/>
            <w:hideMark/>
          </w:tcPr>
          <w:p w14:paraId="62755E3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Penstemon </w:t>
            </w:r>
            <w:proofErr w:type="spellStart"/>
            <w:r w:rsidRPr="00F12387">
              <w:rPr>
                <w:rFonts w:ascii="Arial" w:eastAsia="Times New Roman" w:hAnsi="Arial" w:cs="Arial"/>
                <w:color w:val="000000"/>
                <w:sz w:val="20"/>
                <w:szCs w:val="20"/>
              </w:rPr>
              <w:t>grandiflorus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4BAB6F3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0AD7778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0710BC3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2810C1A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r>
      <w:tr w:rsidR="00F12387" w:rsidRPr="00F12387" w14:paraId="640E04BD"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AA4DB5D"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ratcol</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718047E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Long-headed Coneflower</w:t>
            </w:r>
          </w:p>
        </w:tc>
        <w:tc>
          <w:tcPr>
            <w:tcW w:w="2538" w:type="dxa"/>
            <w:tcBorders>
              <w:top w:val="nil"/>
              <w:left w:val="nil"/>
              <w:bottom w:val="single" w:sz="4" w:space="0" w:color="auto"/>
              <w:right w:val="single" w:sz="4" w:space="0" w:color="auto"/>
            </w:tcBorders>
            <w:shd w:val="clear" w:color="000000" w:fill="A9D08E"/>
            <w:noWrap/>
            <w:vAlign w:val="bottom"/>
            <w:hideMark/>
          </w:tcPr>
          <w:p w14:paraId="6153C0A3"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Ratibida </w:t>
            </w:r>
            <w:proofErr w:type="spellStart"/>
            <w:r w:rsidRPr="00F12387">
              <w:rPr>
                <w:rFonts w:ascii="Arial" w:eastAsia="Times New Roman" w:hAnsi="Arial" w:cs="Arial"/>
                <w:color w:val="000000"/>
                <w:sz w:val="20"/>
                <w:szCs w:val="20"/>
              </w:rPr>
              <w:t>columnifera</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651204F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c>
          <w:tcPr>
            <w:tcW w:w="940" w:type="dxa"/>
            <w:tcBorders>
              <w:top w:val="nil"/>
              <w:left w:val="nil"/>
              <w:bottom w:val="single" w:sz="4" w:space="0" w:color="auto"/>
              <w:right w:val="single" w:sz="4" w:space="0" w:color="auto"/>
            </w:tcBorders>
            <w:shd w:val="clear" w:color="auto" w:fill="auto"/>
            <w:noWrap/>
            <w:vAlign w:val="bottom"/>
            <w:hideMark/>
          </w:tcPr>
          <w:p w14:paraId="7F54F96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79EFD7E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0.77</w:t>
            </w:r>
          </w:p>
        </w:tc>
        <w:tc>
          <w:tcPr>
            <w:tcW w:w="1032" w:type="dxa"/>
            <w:tcBorders>
              <w:top w:val="nil"/>
              <w:left w:val="nil"/>
              <w:bottom w:val="single" w:sz="4" w:space="0" w:color="auto"/>
              <w:right w:val="single" w:sz="4" w:space="0" w:color="auto"/>
            </w:tcBorders>
            <w:shd w:val="clear" w:color="auto" w:fill="auto"/>
            <w:noWrap/>
            <w:vAlign w:val="bottom"/>
            <w:hideMark/>
          </w:tcPr>
          <w:p w14:paraId="013B894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0.88%</w:t>
            </w:r>
          </w:p>
        </w:tc>
      </w:tr>
      <w:tr w:rsidR="00F12387" w:rsidRPr="00F12387" w14:paraId="25D7964E"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8D8BD5A"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rudhir</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7DE4D9D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Black-eyed Susan</w:t>
            </w:r>
          </w:p>
        </w:tc>
        <w:tc>
          <w:tcPr>
            <w:tcW w:w="2538" w:type="dxa"/>
            <w:tcBorders>
              <w:top w:val="nil"/>
              <w:left w:val="nil"/>
              <w:bottom w:val="single" w:sz="4" w:space="0" w:color="auto"/>
              <w:right w:val="single" w:sz="4" w:space="0" w:color="auto"/>
            </w:tcBorders>
            <w:shd w:val="clear" w:color="000000" w:fill="A9D08E"/>
            <w:noWrap/>
            <w:vAlign w:val="bottom"/>
            <w:hideMark/>
          </w:tcPr>
          <w:p w14:paraId="4F861D7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Rudbeckia </w:t>
            </w:r>
            <w:proofErr w:type="spellStart"/>
            <w:r w:rsidRPr="00F12387">
              <w:rPr>
                <w:rFonts w:ascii="Arial" w:eastAsia="Times New Roman" w:hAnsi="Arial" w:cs="Arial"/>
                <w:color w:val="000000"/>
                <w:sz w:val="20"/>
                <w:szCs w:val="20"/>
              </w:rPr>
              <w:t>hirta</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6726458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42458B2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00F84BD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1.01</w:t>
            </w:r>
          </w:p>
        </w:tc>
        <w:tc>
          <w:tcPr>
            <w:tcW w:w="1032" w:type="dxa"/>
            <w:tcBorders>
              <w:top w:val="nil"/>
              <w:left w:val="nil"/>
              <w:bottom w:val="single" w:sz="4" w:space="0" w:color="auto"/>
              <w:right w:val="single" w:sz="4" w:space="0" w:color="auto"/>
            </w:tcBorders>
            <w:shd w:val="clear" w:color="auto" w:fill="auto"/>
            <w:noWrap/>
            <w:vAlign w:val="bottom"/>
            <w:hideMark/>
          </w:tcPr>
          <w:p w14:paraId="5081FD1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1.15%</w:t>
            </w:r>
          </w:p>
        </w:tc>
      </w:tr>
      <w:tr w:rsidR="00F12387" w:rsidRPr="00F12387" w14:paraId="0E511C1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AADF4B1"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solnem</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5E9119A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Gray Goldenrod</w:t>
            </w:r>
          </w:p>
        </w:tc>
        <w:tc>
          <w:tcPr>
            <w:tcW w:w="2538" w:type="dxa"/>
            <w:tcBorders>
              <w:top w:val="nil"/>
              <w:left w:val="nil"/>
              <w:bottom w:val="single" w:sz="4" w:space="0" w:color="auto"/>
              <w:right w:val="single" w:sz="4" w:space="0" w:color="auto"/>
            </w:tcBorders>
            <w:shd w:val="clear" w:color="000000" w:fill="A9D08E"/>
            <w:noWrap/>
            <w:vAlign w:val="bottom"/>
            <w:hideMark/>
          </w:tcPr>
          <w:p w14:paraId="7F91A5A1"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Solidago </w:t>
            </w:r>
            <w:proofErr w:type="spellStart"/>
            <w:r w:rsidRPr="00F12387">
              <w:rPr>
                <w:rFonts w:ascii="Arial" w:eastAsia="Times New Roman" w:hAnsi="Arial" w:cs="Arial"/>
                <w:color w:val="000000"/>
                <w:sz w:val="20"/>
                <w:szCs w:val="20"/>
              </w:rPr>
              <w:t>nemoralis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118C17C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46785A7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12349EF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4.41</w:t>
            </w:r>
          </w:p>
        </w:tc>
        <w:tc>
          <w:tcPr>
            <w:tcW w:w="1032" w:type="dxa"/>
            <w:tcBorders>
              <w:top w:val="nil"/>
              <w:left w:val="nil"/>
              <w:bottom w:val="single" w:sz="4" w:space="0" w:color="auto"/>
              <w:right w:val="single" w:sz="4" w:space="0" w:color="auto"/>
            </w:tcBorders>
            <w:shd w:val="clear" w:color="auto" w:fill="auto"/>
            <w:noWrap/>
            <w:vAlign w:val="bottom"/>
            <w:hideMark/>
          </w:tcPr>
          <w:p w14:paraId="07C43C7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5.02%</w:t>
            </w:r>
          </w:p>
        </w:tc>
      </w:tr>
      <w:tr w:rsidR="00F12387" w:rsidRPr="00F12387" w14:paraId="3FDCD052"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8AF7D4A"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solpta</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5F665F0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Upland White Goldenrod</w:t>
            </w:r>
          </w:p>
        </w:tc>
        <w:tc>
          <w:tcPr>
            <w:tcW w:w="2538" w:type="dxa"/>
            <w:tcBorders>
              <w:top w:val="nil"/>
              <w:left w:val="nil"/>
              <w:bottom w:val="single" w:sz="4" w:space="0" w:color="auto"/>
              <w:right w:val="single" w:sz="4" w:space="0" w:color="auto"/>
            </w:tcBorders>
            <w:shd w:val="clear" w:color="000000" w:fill="A9D08E"/>
            <w:noWrap/>
            <w:vAlign w:val="bottom"/>
            <w:hideMark/>
          </w:tcPr>
          <w:p w14:paraId="7558F6B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 xml:space="preserve">Solidago </w:t>
            </w:r>
            <w:proofErr w:type="spellStart"/>
            <w:r w:rsidRPr="00F12387">
              <w:rPr>
                <w:rFonts w:ascii="Arial" w:eastAsia="Times New Roman" w:hAnsi="Arial" w:cs="Arial"/>
                <w:color w:val="000000"/>
                <w:sz w:val="20"/>
                <w:szCs w:val="20"/>
              </w:rPr>
              <w:t>ptarmicoides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70FCF25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32EAC29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7338B901"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0.71</w:t>
            </w:r>
          </w:p>
        </w:tc>
        <w:tc>
          <w:tcPr>
            <w:tcW w:w="1032" w:type="dxa"/>
            <w:tcBorders>
              <w:top w:val="nil"/>
              <w:left w:val="nil"/>
              <w:bottom w:val="single" w:sz="4" w:space="0" w:color="auto"/>
              <w:right w:val="single" w:sz="4" w:space="0" w:color="auto"/>
            </w:tcBorders>
            <w:shd w:val="clear" w:color="auto" w:fill="auto"/>
            <w:noWrap/>
            <w:vAlign w:val="bottom"/>
            <w:hideMark/>
          </w:tcPr>
          <w:p w14:paraId="621E4F8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0.80%</w:t>
            </w:r>
          </w:p>
        </w:tc>
      </w:tr>
      <w:tr w:rsidR="00F12387" w:rsidRPr="00F12387" w14:paraId="25C85588"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530A612"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solrig</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065FB09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Stiff Goldenrod</w:t>
            </w:r>
          </w:p>
        </w:tc>
        <w:tc>
          <w:tcPr>
            <w:tcW w:w="2538" w:type="dxa"/>
            <w:tcBorders>
              <w:top w:val="nil"/>
              <w:left w:val="nil"/>
              <w:bottom w:val="single" w:sz="4" w:space="0" w:color="auto"/>
              <w:right w:val="single" w:sz="4" w:space="0" w:color="auto"/>
            </w:tcBorders>
            <w:shd w:val="clear" w:color="000000" w:fill="A9D08E"/>
            <w:noWrap/>
            <w:vAlign w:val="bottom"/>
            <w:hideMark/>
          </w:tcPr>
          <w:p w14:paraId="20059514"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Solidago rigida</w:t>
            </w:r>
          </w:p>
        </w:tc>
        <w:tc>
          <w:tcPr>
            <w:tcW w:w="724" w:type="dxa"/>
            <w:tcBorders>
              <w:top w:val="nil"/>
              <w:left w:val="nil"/>
              <w:bottom w:val="single" w:sz="4" w:space="0" w:color="auto"/>
              <w:right w:val="single" w:sz="4" w:space="0" w:color="auto"/>
            </w:tcBorders>
            <w:shd w:val="clear" w:color="auto" w:fill="auto"/>
            <w:noWrap/>
            <w:vAlign w:val="bottom"/>
            <w:hideMark/>
          </w:tcPr>
          <w:p w14:paraId="1134D10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3244765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077D2EF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0.90</w:t>
            </w:r>
          </w:p>
        </w:tc>
        <w:tc>
          <w:tcPr>
            <w:tcW w:w="1032" w:type="dxa"/>
            <w:tcBorders>
              <w:top w:val="nil"/>
              <w:left w:val="nil"/>
              <w:bottom w:val="single" w:sz="4" w:space="0" w:color="auto"/>
              <w:right w:val="single" w:sz="4" w:space="0" w:color="auto"/>
            </w:tcBorders>
            <w:shd w:val="clear" w:color="auto" w:fill="auto"/>
            <w:noWrap/>
            <w:vAlign w:val="bottom"/>
            <w:hideMark/>
          </w:tcPr>
          <w:p w14:paraId="6880870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1.03%</w:t>
            </w:r>
          </w:p>
        </w:tc>
      </w:tr>
      <w:tr w:rsidR="00F12387" w:rsidRPr="00F12387" w14:paraId="135C2794"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1861B46"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solspe</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60D1103D"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Showy Goldenrod</w:t>
            </w:r>
          </w:p>
        </w:tc>
        <w:tc>
          <w:tcPr>
            <w:tcW w:w="2538" w:type="dxa"/>
            <w:tcBorders>
              <w:top w:val="nil"/>
              <w:left w:val="nil"/>
              <w:bottom w:val="single" w:sz="4" w:space="0" w:color="auto"/>
              <w:right w:val="single" w:sz="4" w:space="0" w:color="auto"/>
            </w:tcBorders>
            <w:shd w:val="clear" w:color="000000" w:fill="A9D08E"/>
            <w:noWrap/>
            <w:vAlign w:val="bottom"/>
            <w:hideMark/>
          </w:tcPr>
          <w:p w14:paraId="4F68DCC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Solidago speciosa</w:t>
            </w:r>
          </w:p>
        </w:tc>
        <w:tc>
          <w:tcPr>
            <w:tcW w:w="724" w:type="dxa"/>
            <w:tcBorders>
              <w:top w:val="nil"/>
              <w:left w:val="nil"/>
              <w:bottom w:val="single" w:sz="4" w:space="0" w:color="auto"/>
              <w:right w:val="single" w:sz="4" w:space="0" w:color="auto"/>
            </w:tcBorders>
            <w:shd w:val="clear" w:color="auto" w:fill="auto"/>
            <w:noWrap/>
            <w:vAlign w:val="bottom"/>
            <w:hideMark/>
          </w:tcPr>
          <w:p w14:paraId="04E9EE3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1D63C75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17E2F98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1.76</w:t>
            </w:r>
          </w:p>
        </w:tc>
        <w:tc>
          <w:tcPr>
            <w:tcW w:w="1032" w:type="dxa"/>
            <w:tcBorders>
              <w:top w:val="nil"/>
              <w:left w:val="nil"/>
              <w:bottom w:val="single" w:sz="4" w:space="0" w:color="auto"/>
              <w:right w:val="single" w:sz="4" w:space="0" w:color="auto"/>
            </w:tcBorders>
            <w:shd w:val="clear" w:color="auto" w:fill="auto"/>
            <w:noWrap/>
            <w:vAlign w:val="bottom"/>
            <w:hideMark/>
          </w:tcPr>
          <w:p w14:paraId="798C386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2.01%</w:t>
            </w:r>
          </w:p>
        </w:tc>
      </w:tr>
      <w:tr w:rsidR="00F12387" w:rsidRPr="00F12387" w14:paraId="15AF7B6D"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16704BF"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symeri</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782E052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Heath Aster</w:t>
            </w:r>
          </w:p>
        </w:tc>
        <w:tc>
          <w:tcPr>
            <w:tcW w:w="2538" w:type="dxa"/>
            <w:tcBorders>
              <w:top w:val="nil"/>
              <w:left w:val="nil"/>
              <w:bottom w:val="single" w:sz="4" w:space="0" w:color="auto"/>
              <w:right w:val="single" w:sz="4" w:space="0" w:color="auto"/>
            </w:tcBorders>
            <w:shd w:val="clear" w:color="000000" w:fill="A9D08E"/>
            <w:noWrap/>
            <w:vAlign w:val="bottom"/>
            <w:hideMark/>
          </w:tcPr>
          <w:p w14:paraId="1887927D"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Symphyotrichum</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ericoides</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240B949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0.03</w:t>
            </w:r>
          </w:p>
        </w:tc>
        <w:tc>
          <w:tcPr>
            <w:tcW w:w="940" w:type="dxa"/>
            <w:tcBorders>
              <w:top w:val="nil"/>
              <w:left w:val="nil"/>
              <w:bottom w:val="single" w:sz="4" w:space="0" w:color="auto"/>
              <w:right w:val="single" w:sz="4" w:space="0" w:color="auto"/>
            </w:tcBorders>
            <w:shd w:val="clear" w:color="auto" w:fill="auto"/>
            <w:noWrap/>
            <w:vAlign w:val="bottom"/>
            <w:hideMark/>
          </w:tcPr>
          <w:p w14:paraId="6B50FE4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0.09%</w:t>
            </w:r>
          </w:p>
        </w:tc>
        <w:tc>
          <w:tcPr>
            <w:tcW w:w="1032" w:type="dxa"/>
            <w:tcBorders>
              <w:top w:val="nil"/>
              <w:left w:val="nil"/>
              <w:bottom w:val="single" w:sz="4" w:space="0" w:color="auto"/>
              <w:right w:val="single" w:sz="4" w:space="0" w:color="auto"/>
            </w:tcBorders>
            <w:shd w:val="clear" w:color="auto" w:fill="auto"/>
            <w:noWrap/>
            <w:vAlign w:val="bottom"/>
            <w:hideMark/>
          </w:tcPr>
          <w:p w14:paraId="1D3819A7"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2.20</w:t>
            </w:r>
          </w:p>
        </w:tc>
        <w:tc>
          <w:tcPr>
            <w:tcW w:w="1032" w:type="dxa"/>
            <w:tcBorders>
              <w:top w:val="nil"/>
              <w:left w:val="nil"/>
              <w:bottom w:val="single" w:sz="4" w:space="0" w:color="auto"/>
              <w:right w:val="single" w:sz="4" w:space="0" w:color="auto"/>
            </w:tcBorders>
            <w:shd w:val="clear" w:color="auto" w:fill="auto"/>
            <w:noWrap/>
            <w:vAlign w:val="bottom"/>
            <w:hideMark/>
          </w:tcPr>
          <w:p w14:paraId="0C3CDB2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2.51%</w:t>
            </w:r>
          </w:p>
        </w:tc>
      </w:tr>
      <w:tr w:rsidR="00F12387" w:rsidRPr="00F12387" w14:paraId="2B843DCF"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81EB06F"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symlae</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1C634FC5"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Smooth Blue Aster</w:t>
            </w:r>
          </w:p>
        </w:tc>
        <w:tc>
          <w:tcPr>
            <w:tcW w:w="2538" w:type="dxa"/>
            <w:tcBorders>
              <w:top w:val="nil"/>
              <w:left w:val="nil"/>
              <w:bottom w:val="single" w:sz="4" w:space="0" w:color="auto"/>
              <w:right w:val="single" w:sz="4" w:space="0" w:color="auto"/>
            </w:tcBorders>
            <w:shd w:val="clear" w:color="000000" w:fill="A9D08E"/>
            <w:noWrap/>
            <w:vAlign w:val="bottom"/>
            <w:hideMark/>
          </w:tcPr>
          <w:p w14:paraId="28F7E9F2"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Symphyotrichum</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laeve</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49D6B74A"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0.06</w:t>
            </w:r>
          </w:p>
        </w:tc>
        <w:tc>
          <w:tcPr>
            <w:tcW w:w="940" w:type="dxa"/>
            <w:tcBorders>
              <w:top w:val="nil"/>
              <w:left w:val="nil"/>
              <w:bottom w:val="single" w:sz="4" w:space="0" w:color="auto"/>
              <w:right w:val="single" w:sz="4" w:space="0" w:color="auto"/>
            </w:tcBorders>
            <w:shd w:val="clear" w:color="auto" w:fill="auto"/>
            <w:noWrap/>
            <w:vAlign w:val="bottom"/>
            <w:hideMark/>
          </w:tcPr>
          <w:p w14:paraId="4D426B9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0.18%</w:t>
            </w:r>
          </w:p>
        </w:tc>
        <w:tc>
          <w:tcPr>
            <w:tcW w:w="1032" w:type="dxa"/>
            <w:tcBorders>
              <w:top w:val="nil"/>
              <w:left w:val="nil"/>
              <w:bottom w:val="single" w:sz="4" w:space="0" w:color="auto"/>
              <w:right w:val="single" w:sz="4" w:space="0" w:color="auto"/>
            </w:tcBorders>
            <w:shd w:val="clear" w:color="auto" w:fill="auto"/>
            <w:noWrap/>
            <w:vAlign w:val="bottom"/>
            <w:hideMark/>
          </w:tcPr>
          <w:p w14:paraId="0825AA2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1.21</w:t>
            </w:r>
          </w:p>
        </w:tc>
        <w:tc>
          <w:tcPr>
            <w:tcW w:w="1032" w:type="dxa"/>
            <w:tcBorders>
              <w:top w:val="nil"/>
              <w:left w:val="nil"/>
              <w:bottom w:val="single" w:sz="4" w:space="0" w:color="auto"/>
              <w:right w:val="single" w:sz="4" w:space="0" w:color="auto"/>
            </w:tcBorders>
            <w:shd w:val="clear" w:color="auto" w:fill="auto"/>
            <w:noWrap/>
            <w:vAlign w:val="bottom"/>
            <w:hideMark/>
          </w:tcPr>
          <w:p w14:paraId="27FCE259"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1.38%</w:t>
            </w:r>
          </w:p>
        </w:tc>
      </w:tr>
      <w:tr w:rsidR="00F12387" w:rsidRPr="00F12387" w14:paraId="543E6D74"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0B440100"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symool</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4AE70576"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Sky Blue Aster</w:t>
            </w:r>
          </w:p>
        </w:tc>
        <w:tc>
          <w:tcPr>
            <w:tcW w:w="2538" w:type="dxa"/>
            <w:tcBorders>
              <w:top w:val="nil"/>
              <w:left w:val="nil"/>
              <w:bottom w:val="single" w:sz="4" w:space="0" w:color="auto"/>
              <w:right w:val="single" w:sz="4" w:space="0" w:color="auto"/>
            </w:tcBorders>
            <w:shd w:val="clear" w:color="000000" w:fill="A9D08E"/>
            <w:noWrap/>
            <w:vAlign w:val="bottom"/>
            <w:hideMark/>
          </w:tcPr>
          <w:p w14:paraId="1BC95D01"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Symphyotrichum</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oolentangiense</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1701C0B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c>
          <w:tcPr>
            <w:tcW w:w="940" w:type="dxa"/>
            <w:tcBorders>
              <w:top w:val="nil"/>
              <w:left w:val="nil"/>
              <w:bottom w:val="single" w:sz="4" w:space="0" w:color="auto"/>
              <w:right w:val="single" w:sz="4" w:space="0" w:color="auto"/>
            </w:tcBorders>
            <w:shd w:val="clear" w:color="auto" w:fill="auto"/>
            <w:noWrap/>
            <w:vAlign w:val="bottom"/>
            <w:hideMark/>
          </w:tcPr>
          <w:p w14:paraId="394BD02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2C7E2D0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1.47</w:t>
            </w:r>
          </w:p>
        </w:tc>
        <w:tc>
          <w:tcPr>
            <w:tcW w:w="1032" w:type="dxa"/>
            <w:tcBorders>
              <w:top w:val="nil"/>
              <w:left w:val="nil"/>
              <w:bottom w:val="single" w:sz="4" w:space="0" w:color="auto"/>
              <w:right w:val="single" w:sz="4" w:space="0" w:color="auto"/>
            </w:tcBorders>
            <w:shd w:val="clear" w:color="auto" w:fill="auto"/>
            <w:noWrap/>
            <w:vAlign w:val="bottom"/>
            <w:hideMark/>
          </w:tcPr>
          <w:p w14:paraId="7F9362B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1.67%</w:t>
            </w:r>
          </w:p>
        </w:tc>
      </w:tr>
      <w:tr w:rsidR="00F12387" w:rsidRPr="00F12387" w14:paraId="0A13B7EE"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79F9E1DD"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verstr</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025ADC9E"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Hoary Vervain</w:t>
            </w:r>
          </w:p>
        </w:tc>
        <w:tc>
          <w:tcPr>
            <w:tcW w:w="2538" w:type="dxa"/>
            <w:tcBorders>
              <w:top w:val="nil"/>
              <w:left w:val="nil"/>
              <w:bottom w:val="single" w:sz="4" w:space="0" w:color="auto"/>
              <w:right w:val="single" w:sz="4" w:space="0" w:color="auto"/>
            </w:tcBorders>
            <w:shd w:val="clear" w:color="000000" w:fill="A9D08E"/>
            <w:noWrap/>
            <w:vAlign w:val="bottom"/>
            <w:hideMark/>
          </w:tcPr>
          <w:p w14:paraId="72CE3A4A"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Verbena stricta</w:t>
            </w:r>
          </w:p>
        </w:tc>
        <w:tc>
          <w:tcPr>
            <w:tcW w:w="724" w:type="dxa"/>
            <w:tcBorders>
              <w:top w:val="nil"/>
              <w:left w:val="nil"/>
              <w:bottom w:val="single" w:sz="4" w:space="0" w:color="auto"/>
              <w:right w:val="single" w:sz="4" w:space="0" w:color="auto"/>
            </w:tcBorders>
            <w:shd w:val="clear" w:color="auto" w:fill="auto"/>
            <w:noWrap/>
            <w:vAlign w:val="bottom"/>
            <w:hideMark/>
          </w:tcPr>
          <w:p w14:paraId="6C9F1F1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0.04</w:t>
            </w:r>
          </w:p>
        </w:tc>
        <w:tc>
          <w:tcPr>
            <w:tcW w:w="940" w:type="dxa"/>
            <w:tcBorders>
              <w:top w:val="nil"/>
              <w:left w:val="nil"/>
              <w:bottom w:val="single" w:sz="4" w:space="0" w:color="auto"/>
              <w:right w:val="single" w:sz="4" w:space="0" w:color="auto"/>
            </w:tcBorders>
            <w:shd w:val="clear" w:color="auto" w:fill="auto"/>
            <w:noWrap/>
            <w:vAlign w:val="bottom"/>
            <w:hideMark/>
          </w:tcPr>
          <w:p w14:paraId="2F79CAF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0.12%</w:t>
            </w:r>
          </w:p>
        </w:tc>
        <w:tc>
          <w:tcPr>
            <w:tcW w:w="1032" w:type="dxa"/>
            <w:tcBorders>
              <w:top w:val="nil"/>
              <w:left w:val="nil"/>
              <w:bottom w:val="single" w:sz="4" w:space="0" w:color="auto"/>
              <w:right w:val="single" w:sz="4" w:space="0" w:color="auto"/>
            </w:tcBorders>
            <w:shd w:val="clear" w:color="auto" w:fill="auto"/>
            <w:noWrap/>
            <w:vAlign w:val="bottom"/>
            <w:hideMark/>
          </w:tcPr>
          <w:p w14:paraId="6E6B61EE"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0.41</w:t>
            </w:r>
          </w:p>
        </w:tc>
        <w:tc>
          <w:tcPr>
            <w:tcW w:w="1032" w:type="dxa"/>
            <w:tcBorders>
              <w:top w:val="nil"/>
              <w:left w:val="nil"/>
              <w:bottom w:val="single" w:sz="4" w:space="0" w:color="auto"/>
              <w:right w:val="single" w:sz="4" w:space="0" w:color="auto"/>
            </w:tcBorders>
            <w:shd w:val="clear" w:color="auto" w:fill="auto"/>
            <w:noWrap/>
            <w:vAlign w:val="bottom"/>
            <w:hideMark/>
          </w:tcPr>
          <w:p w14:paraId="2898D442"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0.47%</w:t>
            </w:r>
          </w:p>
        </w:tc>
      </w:tr>
      <w:tr w:rsidR="00F12387" w:rsidRPr="00F12387" w14:paraId="10C2838E"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3183D1AB"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zizapt</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290F6D68"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Heartleaf Alexanders</w:t>
            </w:r>
          </w:p>
        </w:tc>
        <w:tc>
          <w:tcPr>
            <w:tcW w:w="2538" w:type="dxa"/>
            <w:tcBorders>
              <w:top w:val="nil"/>
              <w:left w:val="nil"/>
              <w:bottom w:val="single" w:sz="4" w:space="0" w:color="auto"/>
              <w:right w:val="single" w:sz="4" w:space="0" w:color="auto"/>
            </w:tcBorders>
            <w:shd w:val="clear" w:color="000000" w:fill="A9D08E"/>
            <w:noWrap/>
            <w:vAlign w:val="bottom"/>
            <w:hideMark/>
          </w:tcPr>
          <w:p w14:paraId="4FE4F1EB"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Zizia</w:t>
            </w:r>
            <w:proofErr w:type="spellEnd"/>
            <w:r w:rsidRPr="00F12387">
              <w:rPr>
                <w:rFonts w:ascii="Arial" w:eastAsia="Times New Roman" w:hAnsi="Arial" w:cs="Arial"/>
                <w:color w:val="000000"/>
                <w:sz w:val="20"/>
                <w:szCs w:val="20"/>
              </w:rPr>
              <w:t xml:space="preserve"> aptera</w:t>
            </w:r>
          </w:p>
        </w:tc>
        <w:tc>
          <w:tcPr>
            <w:tcW w:w="724" w:type="dxa"/>
            <w:tcBorders>
              <w:top w:val="nil"/>
              <w:left w:val="nil"/>
              <w:bottom w:val="single" w:sz="4" w:space="0" w:color="auto"/>
              <w:right w:val="single" w:sz="4" w:space="0" w:color="auto"/>
            </w:tcBorders>
            <w:shd w:val="clear" w:color="auto" w:fill="auto"/>
            <w:noWrap/>
            <w:vAlign w:val="bottom"/>
            <w:hideMark/>
          </w:tcPr>
          <w:p w14:paraId="1D21949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0.13</w:t>
            </w:r>
          </w:p>
        </w:tc>
        <w:tc>
          <w:tcPr>
            <w:tcW w:w="940" w:type="dxa"/>
            <w:tcBorders>
              <w:top w:val="nil"/>
              <w:left w:val="nil"/>
              <w:bottom w:val="single" w:sz="4" w:space="0" w:color="auto"/>
              <w:right w:val="single" w:sz="4" w:space="0" w:color="auto"/>
            </w:tcBorders>
            <w:shd w:val="clear" w:color="auto" w:fill="auto"/>
            <w:noWrap/>
            <w:vAlign w:val="bottom"/>
            <w:hideMark/>
          </w:tcPr>
          <w:p w14:paraId="2C4F5FD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0.39%</w:t>
            </w:r>
          </w:p>
        </w:tc>
        <w:tc>
          <w:tcPr>
            <w:tcW w:w="1032" w:type="dxa"/>
            <w:tcBorders>
              <w:top w:val="nil"/>
              <w:left w:val="nil"/>
              <w:bottom w:val="single" w:sz="4" w:space="0" w:color="auto"/>
              <w:right w:val="single" w:sz="4" w:space="0" w:color="auto"/>
            </w:tcBorders>
            <w:shd w:val="clear" w:color="auto" w:fill="auto"/>
            <w:noWrap/>
            <w:vAlign w:val="bottom"/>
            <w:hideMark/>
          </w:tcPr>
          <w:p w14:paraId="7C1CB144"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0.57</w:t>
            </w:r>
          </w:p>
        </w:tc>
        <w:tc>
          <w:tcPr>
            <w:tcW w:w="1032" w:type="dxa"/>
            <w:tcBorders>
              <w:top w:val="nil"/>
              <w:left w:val="nil"/>
              <w:bottom w:val="single" w:sz="4" w:space="0" w:color="auto"/>
              <w:right w:val="single" w:sz="4" w:space="0" w:color="auto"/>
            </w:tcBorders>
            <w:shd w:val="clear" w:color="auto" w:fill="auto"/>
            <w:noWrap/>
            <w:vAlign w:val="bottom"/>
            <w:hideMark/>
          </w:tcPr>
          <w:p w14:paraId="73C968B3"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0.65%</w:t>
            </w:r>
          </w:p>
        </w:tc>
      </w:tr>
      <w:tr w:rsidR="00F12387" w:rsidRPr="00F12387" w14:paraId="6E987B2C"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113DA10D"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zizaur</w:t>
            </w:r>
            <w:proofErr w:type="spellEnd"/>
          </w:p>
        </w:tc>
        <w:tc>
          <w:tcPr>
            <w:tcW w:w="2224" w:type="dxa"/>
            <w:tcBorders>
              <w:top w:val="nil"/>
              <w:left w:val="nil"/>
              <w:bottom w:val="single" w:sz="4" w:space="0" w:color="auto"/>
              <w:right w:val="single" w:sz="4" w:space="0" w:color="auto"/>
            </w:tcBorders>
            <w:shd w:val="clear" w:color="auto" w:fill="auto"/>
            <w:noWrap/>
            <w:vAlign w:val="bottom"/>
            <w:hideMark/>
          </w:tcPr>
          <w:p w14:paraId="045827A0"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Golden Alexanders</w:t>
            </w:r>
          </w:p>
        </w:tc>
        <w:tc>
          <w:tcPr>
            <w:tcW w:w="2538" w:type="dxa"/>
            <w:tcBorders>
              <w:top w:val="nil"/>
              <w:left w:val="nil"/>
              <w:bottom w:val="single" w:sz="4" w:space="0" w:color="auto"/>
              <w:right w:val="single" w:sz="4" w:space="0" w:color="auto"/>
            </w:tcBorders>
            <w:shd w:val="clear" w:color="000000" w:fill="A9D08E"/>
            <w:noWrap/>
            <w:vAlign w:val="bottom"/>
            <w:hideMark/>
          </w:tcPr>
          <w:p w14:paraId="44F4C592"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Zizia</w:t>
            </w:r>
            <w:proofErr w:type="spellEnd"/>
            <w:r w:rsidRPr="00F12387">
              <w:rPr>
                <w:rFonts w:ascii="Arial" w:eastAsia="Times New Roman" w:hAnsi="Arial" w:cs="Arial"/>
                <w:color w:val="000000"/>
                <w:sz w:val="20"/>
                <w:szCs w:val="20"/>
              </w:rPr>
              <w:t xml:space="preserve"> </w:t>
            </w:r>
            <w:proofErr w:type="spellStart"/>
            <w:r w:rsidRPr="00F12387">
              <w:rPr>
                <w:rFonts w:ascii="Arial" w:eastAsia="Times New Roman" w:hAnsi="Arial" w:cs="Arial"/>
                <w:color w:val="000000"/>
                <w:sz w:val="20"/>
                <w:szCs w:val="20"/>
              </w:rPr>
              <w:t>aurea</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7D4C3E7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0.05</w:t>
            </w:r>
          </w:p>
        </w:tc>
        <w:tc>
          <w:tcPr>
            <w:tcW w:w="940" w:type="dxa"/>
            <w:tcBorders>
              <w:top w:val="nil"/>
              <w:left w:val="nil"/>
              <w:bottom w:val="single" w:sz="4" w:space="0" w:color="auto"/>
              <w:right w:val="single" w:sz="4" w:space="0" w:color="auto"/>
            </w:tcBorders>
            <w:shd w:val="clear" w:color="auto" w:fill="auto"/>
            <w:noWrap/>
            <w:vAlign w:val="bottom"/>
            <w:hideMark/>
          </w:tcPr>
          <w:p w14:paraId="71053F8F"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0.15%</w:t>
            </w:r>
          </w:p>
        </w:tc>
        <w:tc>
          <w:tcPr>
            <w:tcW w:w="1032" w:type="dxa"/>
            <w:tcBorders>
              <w:top w:val="nil"/>
              <w:left w:val="nil"/>
              <w:bottom w:val="single" w:sz="4" w:space="0" w:color="auto"/>
              <w:right w:val="single" w:sz="4" w:space="0" w:color="auto"/>
            </w:tcBorders>
            <w:shd w:val="clear" w:color="auto" w:fill="auto"/>
            <w:noWrap/>
            <w:vAlign w:val="bottom"/>
            <w:hideMark/>
          </w:tcPr>
          <w:p w14:paraId="7164332D"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0.20</w:t>
            </w:r>
          </w:p>
        </w:tc>
        <w:tc>
          <w:tcPr>
            <w:tcW w:w="1032" w:type="dxa"/>
            <w:tcBorders>
              <w:top w:val="nil"/>
              <w:left w:val="nil"/>
              <w:bottom w:val="single" w:sz="4" w:space="0" w:color="auto"/>
              <w:right w:val="single" w:sz="4" w:space="0" w:color="auto"/>
            </w:tcBorders>
            <w:shd w:val="clear" w:color="auto" w:fill="auto"/>
            <w:noWrap/>
            <w:vAlign w:val="bottom"/>
            <w:hideMark/>
          </w:tcPr>
          <w:p w14:paraId="2C0C4AA6"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0.23%</w:t>
            </w:r>
          </w:p>
        </w:tc>
      </w:tr>
      <w:tr w:rsidR="00F12387" w:rsidRPr="00F12387" w14:paraId="1D6C092A"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6ABA4204"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06837730"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7C8016D8"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Forbs Subtotal</w:t>
            </w:r>
          </w:p>
        </w:tc>
        <w:tc>
          <w:tcPr>
            <w:tcW w:w="724" w:type="dxa"/>
            <w:tcBorders>
              <w:top w:val="nil"/>
              <w:left w:val="nil"/>
              <w:bottom w:val="single" w:sz="4" w:space="0" w:color="auto"/>
              <w:right w:val="single" w:sz="4" w:space="0" w:color="auto"/>
            </w:tcBorders>
            <w:shd w:val="clear" w:color="000000" w:fill="9BC2E6"/>
            <w:noWrap/>
            <w:vAlign w:val="bottom"/>
            <w:hideMark/>
          </w:tcPr>
          <w:p w14:paraId="58F95554"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1.75</w:t>
            </w:r>
          </w:p>
        </w:tc>
        <w:tc>
          <w:tcPr>
            <w:tcW w:w="940" w:type="dxa"/>
            <w:tcBorders>
              <w:top w:val="nil"/>
              <w:left w:val="nil"/>
              <w:bottom w:val="single" w:sz="4" w:space="0" w:color="auto"/>
              <w:right w:val="single" w:sz="4" w:space="0" w:color="auto"/>
            </w:tcBorders>
            <w:shd w:val="clear" w:color="000000" w:fill="9BC2E6"/>
            <w:noWrap/>
            <w:vAlign w:val="bottom"/>
            <w:hideMark/>
          </w:tcPr>
          <w:p w14:paraId="704B50E7"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5.30%</w:t>
            </w:r>
          </w:p>
        </w:tc>
        <w:tc>
          <w:tcPr>
            <w:tcW w:w="1032" w:type="dxa"/>
            <w:tcBorders>
              <w:top w:val="nil"/>
              <w:left w:val="nil"/>
              <w:bottom w:val="single" w:sz="4" w:space="0" w:color="auto"/>
              <w:right w:val="single" w:sz="4" w:space="0" w:color="auto"/>
            </w:tcBorders>
            <w:shd w:val="clear" w:color="000000" w:fill="9BC2E6"/>
            <w:noWrap/>
            <w:vAlign w:val="bottom"/>
            <w:hideMark/>
          </w:tcPr>
          <w:p w14:paraId="146BA282"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31.30</w:t>
            </w:r>
          </w:p>
        </w:tc>
        <w:tc>
          <w:tcPr>
            <w:tcW w:w="1032" w:type="dxa"/>
            <w:tcBorders>
              <w:top w:val="nil"/>
              <w:left w:val="nil"/>
              <w:bottom w:val="single" w:sz="4" w:space="0" w:color="auto"/>
              <w:right w:val="single" w:sz="4" w:space="0" w:color="auto"/>
            </w:tcBorders>
            <w:shd w:val="clear" w:color="000000" w:fill="9BC2E6"/>
            <w:noWrap/>
            <w:vAlign w:val="bottom"/>
            <w:hideMark/>
          </w:tcPr>
          <w:p w14:paraId="004620FC"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35.61%</w:t>
            </w:r>
          </w:p>
        </w:tc>
      </w:tr>
      <w:tr w:rsidR="00F12387" w:rsidRPr="00F12387" w14:paraId="13AE2879" w14:textId="77777777" w:rsidTr="005C5573">
        <w:trPr>
          <w:trHeight w:val="255"/>
        </w:trPr>
        <w:tc>
          <w:tcPr>
            <w:tcW w:w="1050" w:type="dxa"/>
            <w:tcBorders>
              <w:top w:val="nil"/>
              <w:left w:val="single" w:sz="4" w:space="0" w:color="auto"/>
              <w:bottom w:val="single" w:sz="4" w:space="0" w:color="auto"/>
              <w:right w:val="single" w:sz="4" w:space="0" w:color="auto"/>
            </w:tcBorders>
            <w:shd w:val="clear" w:color="auto" w:fill="auto"/>
            <w:noWrap/>
            <w:vAlign w:val="bottom"/>
            <w:hideMark/>
          </w:tcPr>
          <w:p w14:paraId="54A84AC7"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cover</w:t>
            </w:r>
          </w:p>
        </w:tc>
        <w:tc>
          <w:tcPr>
            <w:tcW w:w="2224" w:type="dxa"/>
            <w:tcBorders>
              <w:top w:val="nil"/>
              <w:left w:val="nil"/>
              <w:bottom w:val="single" w:sz="4" w:space="0" w:color="auto"/>
              <w:right w:val="single" w:sz="4" w:space="0" w:color="auto"/>
            </w:tcBorders>
            <w:shd w:val="clear" w:color="auto" w:fill="auto"/>
            <w:noWrap/>
            <w:vAlign w:val="bottom"/>
            <w:hideMark/>
          </w:tcPr>
          <w:p w14:paraId="57499732" w14:textId="77777777" w:rsidR="00F12387" w:rsidRPr="00F12387" w:rsidRDefault="00F12387" w:rsidP="00F12387">
            <w:pPr>
              <w:rPr>
                <w:rFonts w:ascii="Arial" w:eastAsia="Times New Roman" w:hAnsi="Arial" w:cs="Arial"/>
                <w:color w:val="000000"/>
                <w:sz w:val="20"/>
                <w:szCs w:val="20"/>
              </w:rPr>
            </w:pPr>
            <w:r w:rsidRPr="00F12387">
              <w:rPr>
                <w:rFonts w:ascii="Arial" w:eastAsia="Times New Roman" w:hAnsi="Arial" w:cs="Arial"/>
                <w:color w:val="000000"/>
                <w:sz w:val="20"/>
                <w:szCs w:val="20"/>
              </w:rPr>
              <w:t>Oats/Winter Wheat</w:t>
            </w:r>
          </w:p>
        </w:tc>
        <w:tc>
          <w:tcPr>
            <w:tcW w:w="2538" w:type="dxa"/>
            <w:tcBorders>
              <w:top w:val="nil"/>
              <w:left w:val="nil"/>
              <w:bottom w:val="single" w:sz="4" w:space="0" w:color="auto"/>
              <w:right w:val="single" w:sz="4" w:space="0" w:color="auto"/>
            </w:tcBorders>
            <w:shd w:val="clear" w:color="000000" w:fill="A9D08E"/>
            <w:noWrap/>
            <w:vAlign w:val="bottom"/>
            <w:hideMark/>
          </w:tcPr>
          <w:p w14:paraId="3D3A5060" w14:textId="77777777" w:rsidR="00F12387" w:rsidRPr="00F12387" w:rsidRDefault="00F12387" w:rsidP="00F12387">
            <w:pPr>
              <w:rPr>
                <w:rFonts w:ascii="Arial" w:eastAsia="Times New Roman" w:hAnsi="Arial" w:cs="Arial"/>
                <w:color w:val="000000"/>
                <w:sz w:val="20"/>
                <w:szCs w:val="20"/>
              </w:rPr>
            </w:pPr>
            <w:proofErr w:type="spellStart"/>
            <w:r w:rsidRPr="00F12387">
              <w:rPr>
                <w:rFonts w:ascii="Arial" w:eastAsia="Times New Roman" w:hAnsi="Arial" w:cs="Arial"/>
                <w:color w:val="000000"/>
                <w:sz w:val="20"/>
                <w:szCs w:val="20"/>
              </w:rPr>
              <w:t>Avena</w:t>
            </w:r>
            <w:proofErr w:type="spellEnd"/>
            <w:r w:rsidRPr="00F12387">
              <w:rPr>
                <w:rFonts w:ascii="Arial" w:eastAsia="Times New Roman" w:hAnsi="Arial" w:cs="Arial"/>
                <w:color w:val="000000"/>
                <w:sz w:val="20"/>
                <w:szCs w:val="20"/>
              </w:rPr>
              <w:t xml:space="preserve"> sativa/Triticum </w:t>
            </w:r>
            <w:proofErr w:type="spellStart"/>
            <w:r w:rsidRPr="00F12387">
              <w:rPr>
                <w:rFonts w:ascii="Arial" w:eastAsia="Times New Roman" w:hAnsi="Arial" w:cs="Arial"/>
                <w:color w:val="000000"/>
                <w:sz w:val="20"/>
                <w:szCs w:val="20"/>
              </w:rPr>
              <w:t>aestivum</w:t>
            </w:r>
            <w:proofErr w:type="spellEnd"/>
          </w:p>
        </w:tc>
        <w:tc>
          <w:tcPr>
            <w:tcW w:w="724" w:type="dxa"/>
            <w:tcBorders>
              <w:top w:val="nil"/>
              <w:left w:val="nil"/>
              <w:bottom w:val="single" w:sz="4" w:space="0" w:color="auto"/>
              <w:right w:val="single" w:sz="4" w:space="0" w:color="auto"/>
            </w:tcBorders>
            <w:shd w:val="clear" w:color="auto" w:fill="auto"/>
            <w:noWrap/>
            <w:vAlign w:val="bottom"/>
            <w:hideMark/>
          </w:tcPr>
          <w:p w14:paraId="012A4C58"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25.00</w:t>
            </w:r>
          </w:p>
        </w:tc>
        <w:tc>
          <w:tcPr>
            <w:tcW w:w="940" w:type="dxa"/>
            <w:tcBorders>
              <w:top w:val="nil"/>
              <w:left w:val="nil"/>
              <w:bottom w:val="single" w:sz="4" w:space="0" w:color="auto"/>
              <w:right w:val="single" w:sz="4" w:space="0" w:color="auto"/>
            </w:tcBorders>
            <w:shd w:val="clear" w:color="auto" w:fill="auto"/>
            <w:noWrap/>
            <w:vAlign w:val="bottom"/>
            <w:hideMark/>
          </w:tcPr>
          <w:p w14:paraId="4EBF7ACC"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75.76%</w:t>
            </w:r>
          </w:p>
        </w:tc>
        <w:tc>
          <w:tcPr>
            <w:tcW w:w="1032" w:type="dxa"/>
            <w:tcBorders>
              <w:top w:val="nil"/>
              <w:left w:val="nil"/>
              <w:bottom w:val="single" w:sz="4" w:space="0" w:color="auto"/>
              <w:right w:val="single" w:sz="4" w:space="0" w:color="auto"/>
            </w:tcBorders>
            <w:shd w:val="clear" w:color="auto" w:fill="auto"/>
            <w:noWrap/>
            <w:vAlign w:val="bottom"/>
            <w:hideMark/>
          </w:tcPr>
          <w:p w14:paraId="22D6D21B"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11.14</w:t>
            </w:r>
          </w:p>
        </w:tc>
        <w:tc>
          <w:tcPr>
            <w:tcW w:w="1032" w:type="dxa"/>
            <w:tcBorders>
              <w:top w:val="nil"/>
              <w:left w:val="nil"/>
              <w:bottom w:val="single" w:sz="4" w:space="0" w:color="auto"/>
              <w:right w:val="single" w:sz="4" w:space="0" w:color="auto"/>
            </w:tcBorders>
            <w:shd w:val="clear" w:color="auto" w:fill="auto"/>
            <w:noWrap/>
            <w:vAlign w:val="bottom"/>
            <w:hideMark/>
          </w:tcPr>
          <w:p w14:paraId="26472DA0" w14:textId="77777777" w:rsidR="00F12387" w:rsidRPr="00F12387" w:rsidRDefault="00F12387" w:rsidP="00F12387">
            <w:pPr>
              <w:jc w:val="right"/>
              <w:rPr>
                <w:rFonts w:ascii="Arial" w:eastAsia="Times New Roman" w:hAnsi="Arial" w:cs="Arial"/>
                <w:color w:val="000000"/>
                <w:sz w:val="20"/>
                <w:szCs w:val="20"/>
              </w:rPr>
            </w:pPr>
            <w:r w:rsidRPr="00F12387">
              <w:rPr>
                <w:rFonts w:ascii="Arial" w:eastAsia="Times New Roman" w:hAnsi="Arial" w:cs="Arial"/>
                <w:color w:val="000000"/>
                <w:sz w:val="20"/>
                <w:szCs w:val="20"/>
              </w:rPr>
              <w:t>12.67%</w:t>
            </w:r>
          </w:p>
        </w:tc>
      </w:tr>
      <w:tr w:rsidR="00F12387" w:rsidRPr="00F12387" w14:paraId="762B6BD3"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1B53592A"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6790645E"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29674843"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Cover Crop Subtotal</w:t>
            </w:r>
          </w:p>
        </w:tc>
        <w:tc>
          <w:tcPr>
            <w:tcW w:w="724" w:type="dxa"/>
            <w:tcBorders>
              <w:top w:val="nil"/>
              <w:left w:val="nil"/>
              <w:bottom w:val="single" w:sz="4" w:space="0" w:color="auto"/>
              <w:right w:val="single" w:sz="4" w:space="0" w:color="auto"/>
            </w:tcBorders>
            <w:shd w:val="clear" w:color="000000" w:fill="9BC2E6"/>
            <w:noWrap/>
            <w:vAlign w:val="bottom"/>
            <w:hideMark/>
          </w:tcPr>
          <w:p w14:paraId="7A4BEB35"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25.00</w:t>
            </w:r>
          </w:p>
        </w:tc>
        <w:tc>
          <w:tcPr>
            <w:tcW w:w="940" w:type="dxa"/>
            <w:tcBorders>
              <w:top w:val="nil"/>
              <w:left w:val="nil"/>
              <w:bottom w:val="single" w:sz="4" w:space="0" w:color="auto"/>
              <w:right w:val="single" w:sz="4" w:space="0" w:color="auto"/>
            </w:tcBorders>
            <w:shd w:val="clear" w:color="000000" w:fill="9BC2E6"/>
            <w:noWrap/>
            <w:vAlign w:val="bottom"/>
            <w:hideMark/>
          </w:tcPr>
          <w:p w14:paraId="4D8B4B49"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75.76%</w:t>
            </w:r>
          </w:p>
        </w:tc>
        <w:tc>
          <w:tcPr>
            <w:tcW w:w="1032" w:type="dxa"/>
            <w:tcBorders>
              <w:top w:val="nil"/>
              <w:left w:val="nil"/>
              <w:bottom w:val="single" w:sz="4" w:space="0" w:color="auto"/>
              <w:right w:val="single" w:sz="4" w:space="0" w:color="auto"/>
            </w:tcBorders>
            <w:shd w:val="clear" w:color="000000" w:fill="9BC2E6"/>
            <w:noWrap/>
            <w:vAlign w:val="bottom"/>
            <w:hideMark/>
          </w:tcPr>
          <w:p w14:paraId="73D4133F"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11.14</w:t>
            </w:r>
          </w:p>
        </w:tc>
        <w:tc>
          <w:tcPr>
            <w:tcW w:w="1032" w:type="dxa"/>
            <w:tcBorders>
              <w:top w:val="nil"/>
              <w:left w:val="nil"/>
              <w:bottom w:val="single" w:sz="4" w:space="0" w:color="auto"/>
              <w:right w:val="single" w:sz="4" w:space="0" w:color="auto"/>
            </w:tcBorders>
            <w:shd w:val="clear" w:color="000000" w:fill="9BC2E6"/>
            <w:noWrap/>
            <w:vAlign w:val="bottom"/>
            <w:hideMark/>
          </w:tcPr>
          <w:p w14:paraId="29F34F06"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12.67%</w:t>
            </w:r>
          </w:p>
        </w:tc>
      </w:tr>
      <w:tr w:rsidR="00F12387" w:rsidRPr="00F12387" w14:paraId="1BE0E932" w14:textId="77777777" w:rsidTr="005C5573">
        <w:trPr>
          <w:trHeight w:val="255"/>
        </w:trPr>
        <w:tc>
          <w:tcPr>
            <w:tcW w:w="1050" w:type="dxa"/>
            <w:tcBorders>
              <w:top w:val="nil"/>
              <w:left w:val="single" w:sz="4" w:space="0" w:color="auto"/>
              <w:bottom w:val="single" w:sz="4" w:space="0" w:color="auto"/>
              <w:right w:val="single" w:sz="4" w:space="0" w:color="auto"/>
            </w:tcBorders>
            <w:shd w:val="clear" w:color="000000" w:fill="9BC2E6"/>
            <w:noWrap/>
            <w:vAlign w:val="bottom"/>
            <w:hideMark/>
          </w:tcPr>
          <w:p w14:paraId="7AD464E6"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224" w:type="dxa"/>
            <w:tcBorders>
              <w:top w:val="nil"/>
              <w:left w:val="nil"/>
              <w:bottom w:val="single" w:sz="4" w:space="0" w:color="auto"/>
              <w:right w:val="single" w:sz="4" w:space="0" w:color="auto"/>
            </w:tcBorders>
            <w:shd w:val="clear" w:color="000000" w:fill="9BC2E6"/>
            <w:noWrap/>
            <w:vAlign w:val="bottom"/>
            <w:hideMark/>
          </w:tcPr>
          <w:p w14:paraId="412FD772"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 </w:t>
            </w:r>
          </w:p>
        </w:tc>
        <w:tc>
          <w:tcPr>
            <w:tcW w:w="2538" w:type="dxa"/>
            <w:tcBorders>
              <w:top w:val="nil"/>
              <w:left w:val="nil"/>
              <w:bottom w:val="single" w:sz="4" w:space="0" w:color="auto"/>
              <w:right w:val="single" w:sz="4" w:space="0" w:color="auto"/>
            </w:tcBorders>
            <w:shd w:val="clear" w:color="000000" w:fill="9BC2E6"/>
            <w:noWrap/>
            <w:vAlign w:val="bottom"/>
            <w:hideMark/>
          </w:tcPr>
          <w:p w14:paraId="63690F0C" w14:textId="77777777" w:rsidR="00F12387" w:rsidRPr="00F12387" w:rsidRDefault="00F12387" w:rsidP="00F12387">
            <w:pPr>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Total</w:t>
            </w:r>
          </w:p>
        </w:tc>
        <w:tc>
          <w:tcPr>
            <w:tcW w:w="724" w:type="dxa"/>
            <w:tcBorders>
              <w:top w:val="nil"/>
              <w:left w:val="nil"/>
              <w:bottom w:val="single" w:sz="4" w:space="0" w:color="auto"/>
              <w:right w:val="single" w:sz="4" w:space="0" w:color="auto"/>
            </w:tcBorders>
            <w:shd w:val="clear" w:color="000000" w:fill="9BC2E6"/>
            <w:noWrap/>
            <w:vAlign w:val="bottom"/>
            <w:hideMark/>
          </w:tcPr>
          <w:p w14:paraId="50732902"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33.00</w:t>
            </w:r>
          </w:p>
        </w:tc>
        <w:tc>
          <w:tcPr>
            <w:tcW w:w="940" w:type="dxa"/>
            <w:tcBorders>
              <w:top w:val="nil"/>
              <w:left w:val="nil"/>
              <w:bottom w:val="single" w:sz="4" w:space="0" w:color="auto"/>
              <w:right w:val="single" w:sz="4" w:space="0" w:color="auto"/>
            </w:tcBorders>
            <w:shd w:val="clear" w:color="000000" w:fill="9BC2E6"/>
            <w:noWrap/>
            <w:vAlign w:val="bottom"/>
            <w:hideMark/>
          </w:tcPr>
          <w:p w14:paraId="6CF90FE9"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100.00%</w:t>
            </w:r>
          </w:p>
        </w:tc>
        <w:tc>
          <w:tcPr>
            <w:tcW w:w="1032" w:type="dxa"/>
            <w:tcBorders>
              <w:top w:val="nil"/>
              <w:left w:val="nil"/>
              <w:bottom w:val="single" w:sz="4" w:space="0" w:color="auto"/>
              <w:right w:val="single" w:sz="4" w:space="0" w:color="auto"/>
            </w:tcBorders>
            <w:shd w:val="clear" w:color="000000" w:fill="9BC2E6"/>
            <w:noWrap/>
            <w:vAlign w:val="bottom"/>
            <w:hideMark/>
          </w:tcPr>
          <w:p w14:paraId="29E443D9"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87.89</w:t>
            </w:r>
          </w:p>
        </w:tc>
        <w:tc>
          <w:tcPr>
            <w:tcW w:w="1032" w:type="dxa"/>
            <w:tcBorders>
              <w:top w:val="nil"/>
              <w:left w:val="nil"/>
              <w:bottom w:val="single" w:sz="4" w:space="0" w:color="auto"/>
              <w:right w:val="single" w:sz="4" w:space="0" w:color="auto"/>
            </w:tcBorders>
            <w:shd w:val="clear" w:color="000000" w:fill="9BC2E6"/>
            <w:noWrap/>
            <w:vAlign w:val="bottom"/>
            <w:hideMark/>
          </w:tcPr>
          <w:p w14:paraId="350BAC62" w14:textId="77777777" w:rsidR="00F12387" w:rsidRPr="00F12387" w:rsidRDefault="00F12387" w:rsidP="00F12387">
            <w:pPr>
              <w:jc w:val="right"/>
              <w:rPr>
                <w:rFonts w:ascii="Arial" w:eastAsia="Times New Roman" w:hAnsi="Arial" w:cs="Arial"/>
                <w:b/>
                <w:bCs/>
                <w:color w:val="000000"/>
                <w:sz w:val="20"/>
                <w:szCs w:val="20"/>
              </w:rPr>
            </w:pPr>
            <w:r w:rsidRPr="00F12387">
              <w:rPr>
                <w:rFonts w:ascii="Arial" w:eastAsia="Times New Roman" w:hAnsi="Arial" w:cs="Arial"/>
                <w:b/>
                <w:bCs/>
                <w:color w:val="000000"/>
                <w:sz w:val="20"/>
                <w:szCs w:val="20"/>
              </w:rPr>
              <w:t>100.00%</w:t>
            </w:r>
          </w:p>
        </w:tc>
      </w:tr>
    </w:tbl>
    <w:p w14:paraId="01A5B54A" w14:textId="77777777" w:rsidR="00F12387" w:rsidRDefault="00F12387" w:rsidP="00F12387">
      <w:pPr>
        <w:ind w:right="-540"/>
      </w:pPr>
    </w:p>
    <w:p w14:paraId="50F3A8A3" w14:textId="30427C42" w:rsidR="00B8613E" w:rsidRDefault="00F12387" w:rsidP="00F12387">
      <w:pPr>
        <w:ind w:right="-540"/>
        <w:rPr>
          <w:b/>
          <w:bCs/>
          <w:sz w:val="40"/>
          <w:szCs w:val="40"/>
        </w:rPr>
      </w:pPr>
      <w:r>
        <w:rPr>
          <w:b/>
          <w:bCs/>
          <w:sz w:val="40"/>
          <w:szCs w:val="40"/>
        </w:rPr>
        <w:t xml:space="preserve"> </w:t>
      </w:r>
    </w:p>
    <w:p w14:paraId="72DEDFDA" w14:textId="77777777" w:rsidR="0083491B" w:rsidRDefault="0083491B" w:rsidP="0083491B">
      <w:pPr>
        <w:pStyle w:val="Title"/>
        <w:rPr>
          <w:noProof/>
        </w:rPr>
      </w:pPr>
      <w:r>
        <w:rPr>
          <w:b/>
          <w:bCs/>
        </w:rPr>
        <w:t>Seed Mix Enhancements or Substitutions</w:t>
      </w:r>
      <w:r>
        <w:rPr>
          <w:noProof/>
        </w:rPr>
        <w:t xml:space="preserve">       </w:t>
      </w:r>
    </w:p>
    <w:p w14:paraId="599D7120" w14:textId="71583970" w:rsidR="004B2D2D" w:rsidRPr="001C2EE8" w:rsidRDefault="0083491B" w:rsidP="001C2EE8">
      <w:pPr>
        <w:pStyle w:val="Title"/>
        <w:rPr>
          <w:noProof/>
          <w:sz w:val="24"/>
          <w:szCs w:val="24"/>
        </w:rPr>
      </w:pPr>
      <w:r w:rsidRPr="003D4FF5">
        <w:rPr>
          <w:rFonts w:cstheme="majorHAnsi"/>
          <w:sz w:val="24"/>
          <w:szCs w:val="24"/>
        </w:rPr>
        <w:t xml:space="preserve">List of Additional Species to Add Diversity or for Substitutions </w:t>
      </w:r>
    </w:p>
    <w:p w14:paraId="754022CD" w14:textId="250C080C" w:rsidR="0083491B" w:rsidRPr="00314246" w:rsidRDefault="0083491B" w:rsidP="0083491B">
      <w:pPr>
        <w:pStyle w:val="Heading2"/>
        <w:rPr>
          <w:b/>
          <w:bCs/>
        </w:rPr>
      </w:pPr>
      <w:r w:rsidRPr="00314246">
        <w:rPr>
          <w:b/>
          <w:bCs/>
        </w:rPr>
        <w:t>Grasses:</w:t>
      </w:r>
    </w:p>
    <w:tbl>
      <w:tblPr>
        <w:tblStyle w:val="GridTable6Colorful"/>
        <w:tblW w:w="9625" w:type="dxa"/>
        <w:tblLook w:val="04A0" w:firstRow="1" w:lastRow="0" w:firstColumn="1" w:lastColumn="0" w:noHBand="0" w:noVBand="1"/>
      </w:tblPr>
      <w:tblGrid>
        <w:gridCol w:w="4945"/>
        <w:gridCol w:w="4680"/>
      </w:tblGrid>
      <w:tr w:rsidR="009244FE" w:rsidRPr="007A5700" w14:paraId="127D8F08" w14:textId="77777777" w:rsidTr="009244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3883FED2" w14:textId="41D98B73" w:rsidR="009244FE" w:rsidRPr="007A5700" w:rsidRDefault="009244FE" w:rsidP="00B31E9C">
            <w:pPr>
              <w:pStyle w:val="Heading3"/>
              <w:jc w:val="center"/>
            </w:pPr>
            <w:bookmarkStart w:id="2" w:name="_Hlk39066304"/>
            <w:r w:rsidRPr="00314246">
              <w:rPr>
                <w:color w:val="auto"/>
              </w:rPr>
              <w:t>Scientific Name</w:t>
            </w:r>
          </w:p>
        </w:tc>
        <w:tc>
          <w:tcPr>
            <w:tcW w:w="4680" w:type="dxa"/>
          </w:tcPr>
          <w:p w14:paraId="3AD38AF1" w14:textId="77777777" w:rsidR="009244FE" w:rsidRPr="007A5700" w:rsidRDefault="009244FE" w:rsidP="00B31E9C">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7A5700">
              <w:rPr>
                <w:color w:val="auto"/>
              </w:rPr>
              <w:t>Common Name</w:t>
            </w:r>
          </w:p>
        </w:tc>
      </w:tr>
      <w:tr w:rsidR="009244FE" w:rsidRPr="007A5700" w14:paraId="0CFB7828"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75E4D88E" w14:textId="78D44BDD" w:rsidR="009244FE" w:rsidRPr="006511E6" w:rsidRDefault="009244FE" w:rsidP="00B31E9C">
            <w:pPr>
              <w:rPr>
                <w:b w:val="0"/>
                <w:bCs w:val="0"/>
                <w:i/>
                <w:iCs/>
              </w:rPr>
            </w:pPr>
            <w:proofErr w:type="spellStart"/>
            <w:r w:rsidRPr="006511E6">
              <w:rPr>
                <w:b w:val="0"/>
                <w:bCs w:val="0"/>
                <w:i/>
                <w:iCs/>
              </w:rPr>
              <w:t>Bouteloua</w:t>
            </w:r>
            <w:proofErr w:type="spellEnd"/>
            <w:r w:rsidRPr="006511E6">
              <w:rPr>
                <w:b w:val="0"/>
                <w:bCs w:val="0"/>
                <w:i/>
                <w:iCs/>
              </w:rPr>
              <w:t> </w:t>
            </w:r>
            <w:proofErr w:type="spellStart"/>
            <w:r w:rsidRPr="006511E6">
              <w:rPr>
                <w:b w:val="0"/>
                <w:bCs w:val="0"/>
                <w:i/>
                <w:iCs/>
              </w:rPr>
              <w:t>hirsuta</w:t>
            </w:r>
            <w:proofErr w:type="spellEnd"/>
            <w:r w:rsidRPr="006511E6">
              <w:rPr>
                <w:b w:val="0"/>
                <w:bCs w:val="0"/>
                <w:i/>
                <w:iCs/>
              </w:rPr>
              <w:t> </w:t>
            </w:r>
          </w:p>
        </w:tc>
        <w:tc>
          <w:tcPr>
            <w:tcW w:w="4680" w:type="dxa"/>
          </w:tcPr>
          <w:p w14:paraId="6754B7B2"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Hairy Grama</w:t>
            </w:r>
          </w:p>
        </w:tc>
      </w:tr>
      <w:tr w:rsidR="009244FE" w:rsidRPr="007A5700" w14:paraId="16851533"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263D5E8A" w14:textId="14BDDB78" w:rsidR="009244FE" w:rsidRPr="006511E6" w:rsidRDefault="009244FE" w:rsidP="00B31E9C">
            <w:pPr>
              <w:rPr>
                <w:b w:val="0"/>
                <w:bCs w:val="0"/>
                <w:i/>
                <w:iCs/>
              </w:rPr>
            </w:pPr>
            <w:r w:rsidRPr="006511E6">
              <w:rPr>
                <w:b w:val="0"/>
                <w:bCs w:val="0"/>
                <w:i/>
                <w:iCs/>
              </w:rPr>
              <w:t>Bromus </w:t>
            </w:r>
            <w:proofErr w:type="spellStart"/>
            <w:r w:rsidRPr="006511E6">
              <w:rPr>
                <w:b w:val="0"/>
                <w:bCs w:val="0"/>
                <w:i/>
                <w:iCs/>
              </w:rPr>
              <w:t>pubescens</w:t>
            </w:r>
            <w:proofErr w:type="spellEnd"/>
            <w:r w:rsidRPr="006511E6">
              <w:rPr>
                <w:b w:val="0"/>
                <w:bCs w:val="0"/>
                <w:i/>
                <w:iCs/>
              </w:rPr>
              <w:t xml:space="preserve"> (formerly </w:t>
            </w:r>
            <w:proofErr w:type="spellStart"/>
            <w:r w:rsidRPr="006511E6">
              <w:rPr>
                <w:b w:val="0"/>
                <w:bCs w:val="0"/>
                <w:i/>
                <w:iCs/>
              </w:rPr>
              <w:t>purgans</w:t>
            </w:r>
            <w:proofErr w:type="spellEnd"/>
            <w:r w:rsidRPr="006511E6">
              <w:rPr>
                <w:b w:val="0"/>
                <w:bCs w:val="0"/>
                <w:i/>
                <w:iCs/>
              </w:rPr>
              <w:t>) </w:t>
            </w:r>
          </w:p>
        </w:tc>
        <w:tc>
          <w:tcPr>
            <w:tcW w:w="4680" w:type="dxa"/>
          </w:tcPr>
          <w:p w14:paraId="1B609CF7"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Hairy Wood Chess</w:t>
            </w:r>
          </w:p>
        </w:tc>
      </w:tr>
      <w:tr w:rsidR="009244FE" w:rsidRPr="007A5700" w14:paraId="1094F281"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A8B0B70" w14:textId="41D98B73" w:rsidR="009244FE" w:rsidRPr="006511E6" w:rsidRDefault="009244FE" w:rsidP="00B31E9C">
            <w:pPr>
              <w:rPr>
                <w:b w:val="0"/>
                <w:bCs w:val="0"/>
                <w:i/>
                <w:iCs/>
              </w:rPr>
            </w:pPr>
            <w:proofErr w:type="spellStart"/>
            <w:r w:rsidRPr="006511E6">
              <w:rPr>
                <w:b w:val="0"/>
                <w:bCs w:val="0"/>
                <w:i/>
                <w:iCs/>
              </w:rPr>
              <w:t>Calamovilfa</w:t>
            </w:r>
            <w:proofErr w:type="spellEnd"/>
            <w:r w:rsidRPr="006511E6">
              <w:rPr>
                <w:b w:val="0"/>
                <w:bCs w:val="0"/>
                <w:i/>
                <w:iCs/>
              </w:rPr>
              <w:t xml:space="preserve"> longifolia </w:t>
            </w:r>
          </w:p>
        </w:tc>
        <w:tc>
          <w:tcPr>
            <w:tcW w:w="4680" w:type="dxa"/>
          </w:tcPr>
          <w:p w14:paraId="13428D39"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 xml:space="preserve">Prairie </w:t>
            </w:r>
            <w:proofErr w:type="spellStart"/>
            <w:r w:rsidRPr="006511E6">
              <w:t>Sandreed</w:t>
            </w:r>
            <w:proofErr w:type="spellEnd"/>
          </w:p>
        </w:tc>
      </w:tr>
      <w:tr w:rsidR="009244FE" w:rsidRPr="007A5700" w14:paraId="6B56B4F9"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3D27F470" w14:textId="77777777" w:rsidR="009244FE" w:rsidRPr="006511E6" w:rsidRDefault="009244FE" w:rsidP="00B31E9C">
            <w:pPr>
              <w:rPr>
                <w:b w:val="0"/>
                <w:bCs w:val="0"/>
                <w:i/>
                <w:iCs/>
              </w:rPr>
            </w:pPr>
            <w:proofErr w:type="spellStart"/>
            <w:r w:rsidRPr="006511E6">
              <w:rPr>
                <w:b w:val="0"/>
                <w:bCs w:val="0"/>
                <w:i/>
                <w:iCs/>
              </w:rPr>
              <w:t>Dichanthelium</w:t>
            </w:r>
            <w:proofErr w:type="spellEnd"/>
            <w:r w:rsidRPr="006511E6">
              <w:rPr>
                <w:b w:val="0"/>
                <w:bCs w:val="0"/>
                <w:i/>
                <w:iCs/>
              </w:rPr>
              <w:t xml:space="preserve"> </w:t>
            </w:r>
            <w:proofErr w:type="spellStart"/>
            <w:r w:rsidRPr="006511E6">
              <w:rPr>
                <w:b w:val="0"/>
                <w:bCs w:val="0"/>
                <w:i/>
                <w:iCs/>
              </w:rPr>
              <w:t>oligosanthes</w:t>
            </w:r>
            <w:proofErr w:type="spellEnd"/>
          </w:p>
        </w:tc>
        <w:tc>
          <w:tcPr>
            <w:tcW w:w="4680" w:type="dxa"/>
          </w:tcPr>
          <w:p w14:paraId="40D941A8"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Scribner's Panic Grass</w:t>
            </w:r>
          </w:p>
        </w:tc>
      </w:tr>
      <w:tr w:rsidR="009244FE" w:rsidRPr="007A5700" w14:paraId="70801B26"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7869B70E" w14:textId="77777777" w:rsidR="009244FE" w:rsidRPr="006511E6" w:rsidRDefault="009244FE" w:rsidP="00B31E9C">
            <w:pPr>
              <w:rPr>
                <w:b w:val="0"/>
                <w:bCs w:val="0"/>
                <w:i/>
                <w:iCs/>
              </w:rPr>
            </w:pPr>
            <w:r w:rsidRPr="006511E6">
              <w:rPr>
                <w:b w:val="0"/>
                <w:bCs w:val="0"/>
                <w:i/>
                <w:iCs/>
              </w:rPr>
              <w:t>Elymus </w:t>
            </w:r>
            <w:proofErr w:type="spellStart"/>
            <w:r w:rsidRPr="006511E6">
              <w:rPr>
                <w:b w:val="0"/>
                <w:bCs w:val="0"/>
                <w:i/>
                <w:iCs/>
              </w:rPr>
              <w:t>riparious</w:t>
            </w:r>
            <w:proofErr w:type="spellEnd"/>
          </w:p>
        </w:tc>
        <w:tc>
          <w:tcPr>
            <w:tcW w:w="4680" w:type="dxa"/>
          </w:tcPr>
          <w:p w14:paraId="0AA08502"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Riverbank Wild Rye</w:t>
            </w:r>
          </w:p>
        </w:tc>
      </w:tr>
      <w:tr w:rsidR="009244FE" w:rsidRPr="007A5700" w14:paraId="529610A1"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7D9E7191" w14:textId="14806DE0" w:rsidR="009244FE" w:rsidRPr="006511E6" w:rsidRDefault="009244FE" w:rsidP="00B31E9C">
            <w:pPr>
              <w:rPr>
                <w:b w:val="0"/>
                <w:bCs w:val="0"/>
                <w:i/>
                <w:iCs/>
              </w:rPr>
            </w:pPr>
            <w:r w:rsidRPr="006511E6">
              <w:rPr>
                <w:b w:val="0"/>
                <w:bCs w:val="0"/>
                <w:i/>
                <w:iCs/>
              </w:rPr>
              <w:lastRenderedPageBreak/>
              <w:t>Elymus </w:t>
            </w:r>
            <w:proofErr w:type="spellStart"/>
            <w:r w:rsidRPr="006511E6">
              <w:rPr>
                <w:b w:val="0"/>
                <w:bCs w:val="0"/>
                <w:i/>
                <w:iCs/>
              </w:rPr>
              <w:t>villosus</w:t>
            </w:r>
            <w:proofErr w:type="spellEnd"/>
            <w:r w:rsidRPr="006511E6">
              <w:rPr>
                <w:b w:val="0"/>
                <w:bCs w:val="0"/>
                <w:i/>
                <w:iCs/>
              </w:rPr>
              <w:t> </w:t>
            </w:r>
          </w:p>
        </w:tc>
        <w:tc>
          <w:tcPr>
            <w:tcW w:w="4680" w:type="dxa"/>
          </w:tcPr>
          <w:p w14:paraId="4277D61D"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Downy Wild Rye</w:t>
            </w:r>
          </w:p>
        </w:tc>
      </w:tr>
      <w:tr w:rsidR="009244FE" w:rsidRPr="007A5700" w14:paraId="13147482"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EA91968" w14:textId="115605DD" w:rsidR="009244FE" w:rsidRPr="006511E6" w:rsidRDefault="009244FE" w:rsidP="00B31E9C">
            <w:pPr>
              <w:rPr>
                <w:b w:val="0"/>
                <w:bCs w:val="0"/>
                <w:i/>
                <w:iCs/>
              </w:rPr>
            </w:pPr>
            <w:r w:rsidRPr="006511E6">
              <w:rPr>
                <w:b w:val="0"/>
                <w:bCs w:val="0"/>
                <w:i/>
                <w:iCs/>
              </w:rPr>
              <w:t xml:space="preserve">Stipa </w:t>
            </w:r>
            <w:proofErr w:type="spellStart"/>
            <w:r w:rsidRPr="006511E6">
              <w:rPr>
                <w:b w:val="0"/>
                <w:bCs w:val="0"/>
                <w:i/>
                <w:iCs/>
              </w:rPr>
              <w:t>sparea</w:t>
            </w:r>
            <w:proofErr w:type="spellEnd"/>
            <w:r w:rsidRPr="006511E6">
              <w:rPr>
                <w:b w:val="0"/>
                <w:bCs w:val="0"/>
                <w:i/>
                <w:iCs/>
              </w:rPr>
              <w:t xml:space="preserve"> </w:t>
            </w:r>
          </w:p>
        </w:tc>
        <w:tc>
          <w:tcPr>
            <w:tcW w:w="4680" w:type="dxa"/>
          </w:tcPr>
          <w:p w14:paraId="68408B70"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Porcupine Grass‐untrimmed</w:t>
            </w:r>
          </w:p>
        </w:tc>
      </w:tr>
      <w:bookmarkEnd w:id="2"/>
    </w:tbl>
    <w:p w14:paraId="12C660F1" w14:textId="77777777" w:rsidR="0083491B" w:rsidRDefault="0083491B" w:rsidP="0083491B"/>
    <w:p w14:paraId="5F81BC7D" w14:textId="77777777" w:rsidR="0083491B" w:rsidRPr="001352F3" w:rsidRDefault="0083491B" w:rsidP="0083491B">
      <w:pPr>
        <w:pStyle w:val="Heading2"/>
        <w:rPr>
          <w:b/>
          <w:bCs/>
        </w:rPr>
      </w:pPr>
      <w:r>
        <w:rPr>
          <w:b/>
          <w:bCs/>
        </w:rPr>
        <w:t>Forbs:</w:t>
      </w:r>
    </w:p>
    <w:tbl>
      <w:tblPr>
        <w:tblStyle w:val="GridTable6Colorful"/>
        <w:tblW w:w="9625" w:type="dxa"/>
        <w:tblLook w:val="04A0" w:firstRow="1" w:lastRow="0" w:firstColumn="1" w:lastColumn="0" w:noHBand="0" w:noVBand="1"/>
      </w:tblPr>
      <w:tblGrid>
        <w:gridCol w:w="4945"/>
        <w:gridCol w:w="4680"/>
      </w:tblGrid>
      <w:tr w:rsidR="009244FE" w:rsidRPr="007A5700" w14:paraId="09F05DDF" w14:textId="77777777" w:rsidTr="009244F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4945" w:type="dxa"/>
          </w:tcPr>
          <w:p w14:paraId="0F28F76E" w14:textId="77777777" w:rsidR="009244FE" w:rsidRPr="001352F3" w:rsidRDefault="009244FE" w:rsidP="00B31E9C">
            <w:pPr>
              <w:pStyle w:val="Heading3"/>
              <w:jc w:val="center"/>
              <w:rPr>
                <w:color w:val="auto"/>
              </w:rPr>
            </w:pPr>
            <w:bookmarkStart w:id="3" w:name="_Hlk39067721"/>
            <w:r w:rsidRPr="001352F3">
              <w:rPr>
                <w:color w:val="auto"/>
              </w:rPr>
              <w:t>Scientific Name</w:t>
            </w:r>
          </w:p>
        </w:tc>
        <w:tc>
          <w:tcPr>
            <w:tcW w:w="4680" w:type="dxa"/>
          </w:tcPr>
          <w:p w14:paraId="31A8FFA5" w14:textId="77777777" w:rsidR="009244FE" w:rsidRPr="001352F3" w:rsidRDefault="009244FE" w:rsidP="00B31E9C">
            <w:pPr>
              <w:pStyle w:val="Heading3"/>
              <w:jc w:val="center"/>
              <w:cnfStyle w:val="100000000000" w:firstRow="1" w:lastRow="0" w:firstColumn="0" w:lastColumn="0" w:oddVBand="0" w:evenVBand="0" w:oddHBand="0" w:evenHBand="0" w:firstRowFirstColumn="0" w:firstRowLastColumn="0" w:lastRowFirstColumn="0" w:lastRowLastColumn="0"/>
              <w:rPr>
                <w:color w:val="auto"/>
              </w:rPr>
            </w:pPr>
            <w:r w:rsidRPr="001352F3">
              <w:rPr>
                <w:color w:val="auto"/>
              </w:rPr>
              <w:t>Common Name</w:t>
            </w:r>
          </w:p>
        </w:tc>
      </w:tr>
      <w:tr w:rsidR="009244FE" w:rsidRPr="007A5700" w14:paraId="5FED58F8"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54DF92B" w14:textId="16B21DB2" w:rsidR="009244FE" w:rsidRPr="006511E6" w:rsidRDefault="009244FE" w:rsidP="00B31E9C">
            <w:pPr>
              <w:rPr>
                <w:b w:val="0"/>
                <w:bCs w:val="0"/>
                <w:i/>
                <w:iCs/>
              </w:rPr>
            </w:pPr>
            <w:r w:rsidRPr="006511E6">
              <w:rPr>
                <w:b w:val="0"/>
                <w:bCs w:val="0"/>
                <w:i/>
                <w:iCs/>
              </w:rPr>
              <w:t xml:space="preserve">Allium canadense </w:t>
            </w:r>
          </w:p>
        </w:tc>
        <w:tc>
          <w:tcPr>
            <w:tcW w:w="4680" w:type="dxa"/>
          </w:tcPr>
          <w:p w14:paraId="7B5CD98F"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Wild Garlic</w:t>
            </w:r>
          </w:p>
        </w:tc>
      </w:tr>
      <w:tr w:rsidR="009244FE" w:rsidRPr="007A5700" w14:paraId="04FC9C18"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3AD9ED3B" w14:textId="316AB36A" w:rsidR="009244FE" w:rsidRPr="006511E6" w:rsidRDefault="009244FE" w:rsidP="00B31E9C">
            <w:pPr>
              <w:rPr>
                <w:b w:val="0"/>
                <w:bCs w:val="0"/>
                <w:i/>
                <w:iCs/>
              </w:rPr>
            </w:pPr>
            <w:r w:rsidRPr="006511E6">
              <w:rPr>
                <w:b w:val="0"/>
                <w:bCs w:val="0"/>
                <w:i/>
                <w:iCs/>
              </w:rPr>
              <w:t xml:space="preserve">Astragalus </w:t>
            </w:r>
            <w:proofErr w:type="spellStart"/>
            <w:r w:rsidRPr="006511E6">
              <w:rPr>
                <w:b w:val="0"/>
                <w:bCs w:val="0"/>
                <w:i/>
                <w:iCs/>
              </w:rPr>
              <w:t>crassicarpus</w:t>
            </w:r>
            <w:proofErr w:type="spellEnd"/>
            <w:r w:rsidRPr="006511E6">
              <w:rPr>
                <w:b w:val="0"/>
                <w:bCs w:val="0"/>
                <w:i/>
                <w:iCs/>
              </w:rPr>
              <w:t xml:space="preserve"> </w:t>
            </w:r>
          </w:p>
        </w:tc>
        <w:tc>
          <w:tcPr>
            <w:tcW w:w="4680" w:type="dxa"/>
          </w:tcPr>
          <w:p w14:paraId="556ED510"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Ground Plum</w:t>
            </w:r>
          </w:p>
        </w:tc>
      </w:tr>
      <w:tr w:rsidR="009244FE" w:rsidRPr="007A5700" w14:paraId="2207BF53"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9FCFC2A" w14:textId="13206226" w:rsidR="009244FE" w:rsidRPr="006511E6" w:rsidRDefault="009244FE" w:rsidP="00B31E9C">
            <w:pPr>
              <w:rPr>
                <w:b w:val="0"/>
                <w:bCs w:val="0"/>
                <w:i/>
                <w:iCs/>
              </w:rPr>
            </w:pPr>
            <w:r w:rsidRPr="006511E6">
              <w:rPr>
                <w:b w:val="0"/>
                <w:bCs w:val="0"/>
                <w:i/>
                <w:iCs/>
              </w:rPr>
              <w:t>Chamerion angustifolium</w:t>
            </w:r>
          </w:p>
        </w:tc>
        <w:tc>
          <w:tcPr>
            <w:tcW w:w="4680" w:type="dxa"/>
          </w:tcPr>
          <w:p w14:paraId="2962C0FC"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Fireweed</w:t>
            </w:r>
          </w:p>
        </w:tc>
      </w:tr>
      <w:tr w:rsidR="009244FE" w:rsidRPr="007A5700" w14:paraId="4186C46F"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1E43A414" w14:textId="3917C179" w:rsidR="009244FE" w:rsidRPr="006511E6" w:rsidRDefault="009244FE" w:rsidP="00B31E9C">
            <w:pPr>
              <w:rPr>
                <w:b w:val="0"/>
                <w:bCs w:val="0"/>
                <w:i/>
                <w:iCs/>
              </w:rPr>
            </w:pPr>
            <w:proofErr w:type="spellStart"/>
            <w:r w:rsidRPr="006511E6">
              <w:rPr>
                <w:b w:val="0"/>
                <w:bCs w:val="0"/>
                <w:i/>
                <w:iCs/>
              </w:rPr>
              <w:t>Doellingeria</w:t>
            </w:r>
            <w:proofErr w:type="spellEnd"/>
            <w:r w:rsidRPr="006511E6">
              <w:rPr>
                <w:b w:val="0"/>
                <w:bCs w:val="0"/>
                <w:i/>
                <w:iCs/>
              </w:rPr>
              <w:t> umbellate</w:t>
            </w:r>
          </w:p>
        </w:tc>
        <w:tc>
          <w:tcPr>
            <w:tcW w:w="4680" w:type="dxa"/>
          </w:tcPr>
          <w:p w14:paraId="23FA4D56"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Flat‐topped Aster</w:t>
            </w:r>
          </w:p>
        </w:tc>
      </w:tr>
      <w:tr w:rsidR="009244FE" w:rsidRPr="007A5700" w14:paraId="76DCA459"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23B01C9D" w14:textId="77777777" w:rsidR="009244FE" w:rsidRPr="006511E6" w:rsidRDefault="009244FE" w:rsidP="00B31E9C">
            <w:pPr>
              <w:rPr>
                <w:b w:val="0"/>
                <w:bCs w:val="0"/>
                <w:i/>
                <w:iCs/>
              </w:rPr>
            </w:pPr>
            <w:r w:rsidRPr="006511E6">
              <w:rPr>
                <w:b w:val="0"/>
                <w:bCs w:val="0"/>
                <w:i/>
                <w:iCs/>
              </w:rPr>
              <w:t xml:space="preserve">Glycyrrhiza </w:t>
            </w:r>
            <w:proofErr w:type="spellStart"/>
            <w:r w:rsidRPr="006511E6">
              <w:rPr>
                <w:b w:val="0"/>
                <w:bCs w:val="0"/>
                <w:i/>
                <w:iCs/>
              </w:rPr>
              <w:t>lepidota</w:t>
            </w:r>
            <w:proofErr w:type="spellEnd"/>
          </w:p>
        </w:tc>
        <w:tc>
          <w:tcPr>
            <w:tcW w:w="4680" w:type="dxa"/>
          </w:tcPr>
          <w:p w14:paraId="3646774C"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Wild Licorice</w:t>
            </w:r>
          </w:p>
        </w:tc>
      </w:tr>
      <w:tr w:rsidR="009244FE" w:rsidRPr="007A5700" w14:paraId="587BBA21"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0999CFDD" w14:textId="77777777" w:rsidR="009244FE" w:rsidRPr="006511E6" w:rsidRDefault="009244FE" w:rsidP="00B31E9C">
            <w:pPr>
              <w:rPr>
                <w:b w:val="0"/>
                <w:bCs w:val="0"/>
                <w:i/>
                <w:iCs/>
              </w:rPr>
            </w:pPr>
            <w:r w:rsidRPr="006511E6">
              <w:rPr>
                <w:b w:val="0"/>
                <w:bCs w:val="0"/>
                <w:i/>
                <w:iCs/>
              </w:rPr>
              <w:t xml:space="preserve">Helianthus </w:t>
            </w:r>
            <w:proofErr w:type="spellStart"/>
            <w:r w:rsidRPr="006511E6">
              <w:rPr>
                <w:b w:val="0"/>
                <w:bCs w:val="0"/>
                <w:i/>
                <w:iCs/>
              </w:rPr>
              <w:t>maximilianii</w:t>
            </w:r>
            <w:proofErr w:type="spellEnd"/>
          </w:p>
        </w:tc>
        <w:tc>
          <w:tcPr>
            <w:tcW w:w="4680" w:type="dxa"/>
          </w:tcPr>
          <w:p w14:paraId="6CC8098E"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Maximilian's Sunflower</w:t>
            </w:r>
          </w:p>
        </w:tc>
      </w:tr>
      <w:tr w:rsidR="009244FE" w:rsidRPr="007A5700" w14:paraId="7EFAA7E9"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DA07821" w14:textId="77777777" w:rsidR="009244FE" w:rsidRPr="006511E6" w:rsidRDefault="009244FE" w:rsidP="00B31E9C">
            <w:pPr>
              <w:rPr>
                <w:b w:val="0"/>
                <w:bCs w:val="0"/>
                <w:i/>
                <w:iCs/>
              </w:rPr>
            </w:pPr>
            <w:r w:rsidRPr="006511E6">
              <w:rPr>
                <w:b w:val="0"/>
                <w:bCs w:val="0"/>
                <w:i/>
                <w:iCs/>
              </w:rPr>
              <w:t>Heuchera </w:t>
            </w:r>
            <w:proofErr w:type="spellStart"/>
            <w:r w:rsidRPr="006511E6">
              <w:rPr>
                <w:b w:val="0"/>
                <w:bCs w:val="0"/>
                <w:i/>
                <w:iCs/>
              </w:rPr>
              <w:t>richardsonii</w:t>
            </w:r>
            <w:proofErr w:type="spellEnd"/>
          </w:p>
        </w:tc>
        <w:tc>
          <w:tcPr>
            <w:tcW w:w="4680" w:type="dxa"/>
          </w:tcPr>
          <w:p w14:paraId="302D524C"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Alumroot</w:t>
            </w:r>
          </w:p>
        </w:tc>
      </w:tr>
      <w:tr w:rsidR="009244FE" w:rsidRPr="007A5700" w14:paraId="6A1A1788"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71087F4A" w14:textId="77777777" w:rsidR="009244FE" w:rsidRPr="006511E6" w:rsidRDefault="009244FE" w:rsidP="00B31E9C">
            <w:pPr>
              <w:rPr>
                <w:b w:val="0"/>
                <w:bCs w:val="0"/>
                <w:i/>
                <w:iCs/>
              </w:rPr>
            </w:pPr>
            <w:r w:rsidRPr="006511E6">
              <w:rPr>
                <w:b w:val="0"/>
                <w:bCs w:val="0"/>
                <w:i/>
                <w:iCs/>
              </w:rPr>
              <w:t xml:space="preserve">Liatris </w:t>
            </w:r>
            <w:proofErr w:type="spellStart"/>
            <w:r w:rsidRPr="006511E6">
              <w:rPr>
                <w:b w:val="0"/>
                <w:bCs w:val="0"/>
                <w:i/>
                <w:iCs/>
              </w:rPr>
              <w:t>ligulistylis</w:t>
            </w:r>
            <w:proofErr w:type="spellEnd"/>
          </w:p>
        </w:tc>
        <w:tc>
          <w:tcPr>
            <w:tcW w:w="4680" w:type="dxa"/>
          </w:tcPr>
          <w:p w14:paraId="6E083E94"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Northern Plains Blazing Star</w:t>
            </w:r>
          </w:p>
        </w:tc>
      </w:tr>
      <w:tr w:rsidR="009244FE" w:rsidRPr="007A5700" w14:paraId="7724B7EF"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0605A3F6" w14:textId="749DD956" w:rsidR="009244FE" w:rsidRPr="006511E6" w:rsidRDefault="009244FE" w:rsidP="00B31E9C">
            <w:pPr>
              <w:rPr>
                <w:b w:val="0"/>
                <w:bCs w:val="0"/>
                <w:i/>
                <w:iCs/>
              </w:rPr>
            </w:pPr>
            <w:r w:rsidRPr="006511E6">
              <w:rPr>
                <w:b w:val="0"/>
                <w:bCs w:val="0"/>
                <w:i/>
                <w:iCs/>
              </w:rPr>
              <w:t>Monarda punctata </w:t>
            </w:r>
          </w:p>
        </w:tc>
        <w:tc>
          <w:tcPr>
            <w:tcW w:w="4680" w:type="dxa"/>
          </w:tcPr>
          <w:p w14:paraId="216FC8E5"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Horsemint</w:t>
            </w:r>
          </w:p>
        </w:tc>
      </w:tr>
      <w:tr w:rsidR="009244FE" w:rsidRPr="007A5700" w14:paraId="4D046248"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56B145A8" w14:textId="0B76BBFC" w:rsidR="009244FE" w:rsidRPr="006511E6" w:rsidRDefault="009244FE" w:rsidP="00B31E9C">
            <w:pPr>
              <w:rPr>
                <w:b w:val="0"/>
                <w:bCs w:val="0"/>
                <w:i/>
                <w:iCs/>
              </w:rPr>
            </w:pPr>
            <w:r w:rsidRPr="006511E6">
              <w:rPr>
                <w:b w:val="0"/>
                <w:bCs w:val="0"/>
                <w:i/>
                <w:iCs/>
              </w:rPr>
              <w:t>Pycnanthemum virginianum </w:t>
            </w:r>
          </w:p>
        </w:tc>
        <w:tc>
          <w:tcPr>
            <w:tcW w:w="4680" w:type="dxa"/>
          </w:tcPr>
          <w:p w14:paraId="69CA255B"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Virginia Mountain Mint</w:t>
            </w:r>
          </w:p>
        </w:tc>
      </w:tr>
      <w:tr w:rsidR="009244FE" w:rsidRPr="007A5700" w14:paraId="5966A8D3"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3C3B4F74" w14:textId="382D1879" w:rsidR="009244FE" w:rsidRPr="006511E6" w:rsidRDefault="009244FE" w:rsidP="00B31E9C">
            <w:pPr>
              <w:rPr>
                <w:b w:val="0"/>
                <w:bCs w:val="0"/>
                <w:i/>
                <w:iCs/>
              </w:rPr>
            </w:pPr>
            <w:r w:rsidRPr="006511E6">
              <w:rPr>
                <w:b w:val="0"/>
                <w:bCs w:val="0"/>
                <w:i/>
                <w:iCs/>
              </w:rPr>
              <w:t>Ratibida pinnata</w:t>
            </w:r>
          </w:p>
        </w:tc>
        <w:tc>
          <w:tcPr>
            <w:tcW w:w="4680" w:type="dxa"/>
          </w:tcPr>
          <w:p w14:paraId="4A63F32D"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Gray‐headed Coneflower</w:t>
            </w:r>
          </w:p>
        </w:tc>
      </w:tr>
      <w:tr w:rsidR="009244FE" w:rsidRPr="007A5700" w14:paraId="3DFEA79C"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526789EE" w14:textId="3C09871A" w:rsidR="009244FE" w:rsidRPr="006511E6" w:rsidRDefault="009244FE" w:rsidP="00B31E9C">
            <w:pPr>
              <w:rPr>
                <w:b w:val="0"/>
                <w:bCs w:val="0"/>
                <w:i/>
                <w:iCs/>
              </w:rPr>
            </w:pPr>
            <w:r w:rsidRPr="006511E6">
              <w:rPr>
                <w:b w:val="0"/>
                <w:bCs w:val="0"/>
                <w:i/>
                <w:iCs/>
              </w:rPr>
              <w:t xml:space="preserve">solidago </w:t>
            </w:r>
            <w:proofErr w:type="spellStart"/>
            <w:r w:rsidRPr="006511E6">
              <w:rPr>
                <w:b w:val="0"/>
                <w:bCs w:val="0"/>
                <w:i/>
                <w:iCs/>
              </w:rPr>
              <w:t>riddelii</w:t>
            </w:r>
            <w:proofErr w:type="spellEnd"/>
            <w:r w:rsidRPr="006511E6">
              <w:rPr>
                <w:b w:val="0"/>
                <w:bCs w:val="0"/>
                <w:i/>
                <w:iCs/>
              </w:rPr>
              <w:t xml:space="preserve"> </w:t>
            </w:r>
          </w:p>
        </w:tc>
        <w:tc>
          <w:tcPr>
            <w:tcW w:w="4680" w:type="dxa"/>
          </w:tcPr>
          <w:p w14:paraId="69236326"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Riddell's Goldenrod</w:t>
            </w:r>
          </w:p>
        </w:tc>
      </w:tr>
      <w:tr w:rsidR="009244FE" w:rsidRPr="007A5700" w14:paraId="6BCBB60D"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D70E80E" w14:textId="4698DA8D" w:rsidR="009244FE" w:rsidRPr="006511E6" w:rsidRDefault="009244FE" w:rsidP="00B31E9C">
            <w:pPr>
              <w:rPr>
                <w:b w:val="0"/>
                <w:bCs w:val="0"/>
                <w:i/>
                <w:iCs/>
              </w:rPr>
            </w:pPr>
            <w:r w:rsidRPr="006511E6">
              <w:rPr>
                <w:b w:val="0"/>
                <w:bCs w:val="0"/>
                <w:i/>
                <w:iCs/>
              </w:rPr>
              <w:t>Solidago </w:t>
            </w:r>
            <w:proofErr w:type="spellStart"/>
            <w:r w:rsidRPr="006511E6">
              <w:rPr>
                <w:b w:val="0"/>
                <w:bCs w:val="0"/>
                <w:i/>
                <w:iCs/>
              </w:rPr>
              <w:t>ptarmicoides</w:t>
            </w:r>
            <w:proofErr w:type="spellEnd"/>
          </w:p>
        </w:tc>
        <w:tc>
          <w:tcPr>
            <w:tcW w:w="4680" w:type="dxa"/>
          </w:tcPr>
          <w:p w14:paraId="1F835FDE"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Upland White Aster</w:t>
            </w:r>
          </w:p>
        </w:tc>
      </w:tr>
      <w:tr w:rsidR="009244FE" w:rsidRPr="007A5700" w14:paraId="4DE1DAF7"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0113FE32" w14:textId="77777777" w:rsidR="009244FE" w:rsidRPr="006511E6" w:rsidRDefault="009244FE" w:rsidP="00B31E9C">
            <w:pPr>
              <w:rPr>
                <w:b w:val="0"/>
                <w:bCs w:val="0"/>
                <w:i/>
                <w:iCs/>
              </w:rPr>
            </w:pPr>
            <w:proofErr w:type="spellStart"/>
            <w:r w:rsidRPr="006511E6">
              <w:rPr>
                <w:b w:val="0"/>
                <w:bCs w:val="0"/>
                <w:i/>
                <w:iCs/>
              </w:rPr>
              <w:t>Symphyotrichum</w:t>
            </w:r>
            <w:proofErr w:type="spellEnd"/>
            <w:r w:rsidRPr="006511E6">
              <w:rPr>
                <w:b w:val="0"/>
                <w:bCs w:val="0"/>
                <w:i/>
                <w:iCs/>
              </w:rPr>
              <w:t> </w:t>
            </w:r>
            <w:proofErr w:type="spellStart"/>
            <w:r w:rsidRPr="006511E6">
              <w:rPr>
                <w:b w:val="0"/>
                <w:bCs w:val="0"/>
                <w:i/>
                <w:iCs/>
              </w:rPr>
              <w:t>oolentangiense</w:t>
            </w:r>
            <w:proofErr w:type="spellEnd"/>
            <w:r w:rsidRPr="006511E6">
              <w:rPr>
                <w:b w:val="0"/>
                <w:bCs w:val="0"/>
                <w:i/>
                <w:iCs/>
              </w:rPr>
              <w:t> </w:t>
            </w:r>
          </w:p>
        </w:tc>
        <w:tc>
          <w:tcPr>
            <w:tcW w:w="4680" w:type="dxa"/>
          </w:tcPr>
          <w:p w14:paraId="770B862C"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proofErr w:type="spellStart"/>
            <w:r w:rsidRPr="006511E6">
              <w:t>Skyblue</w:t>
            </w:r>
            <w:proofErr w:type="spellEnd"/>
            <w:r w:rsidRPr="006511E6">
              <w:t> Aster</w:t>
            </w:r>
          </w:p>
        </w:tc>
      </w:tr>
      <w:tr w:rsidR="009244FE" w:rsidRPr="007A5700" w14:paraId="37D903FF"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6C9A2539" w14:textId="7C0E3FA3" w:rsidR="009244FE" w:rsidRPr="006511E6" w:rsidRDefault="009244FE" w:rsidP="00B31E9C">
            <w:pPr>
              <w:rPr>
                <w:b w:val="0"/>
                <w:bCs w:val="0"/>
                <w:i/>
                <w:iCs/>
              </w:rPr>
            </w:pPr>
            <w:proofErr w:type="spellStart"/>
            <w:r w:rsidRPr="006511E6">
              <w:rPr>
                <w:b w:val="0"/>
                <w:bCs w:val="0"/>
                <w:i/>
                <w:iCs/>
              </w:rPr>
              <w:t>Symphyotrichum</w:t>
            </w:r>
            <w:proofErr w:type="spellEnd"/>
            <w:r w:rsidRPr="006511E6">
              <w:rPr>
                <w:b w:val="0"/>
                <w:bCs w:val="0"/>
                <w:i/>
                <w:iCs/>
              </w:rPr>
              <w:t> </w:t>
            </w:r>
            <w:proofErr w:type="spellStart"/>
            <w:r w:rsidRPr="006511E6">
              <w:rPr>
                <w:b w:val="0"/>
                <w:bCs w:val="0"/>
                <w:i/>
                <w:iCs/>
              </w:rPr>
              <w:t>sericeum</w:t>
            </w:r>
            <w:proofErr w:type="spellEnd"/>
            <w:r w:rsidRPr="006511E6">
              <w:rPr>
                <w:b w:val="0"/>
                <w:bCs w:val="0"/>
                <w:i/>
                <w:iCs/>
              </w:rPr>
              <w:t> </w:t>
            </w:r>
          </w:p>
        </w:tc>
        <w:tc>
          <w:tcPr>
            <w:tcW w:w="4680" w:type="dxa"/>
          </w:tcPr>
          <w:p w14:paraId="7092E055"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Silky Aster</w:t>
            </w:r>
          </w:p>
        </w:tc>
      </w:tr>
      <w:tr w:rsidR="009244FE" w:rsidRPr="007A5700" w14:paraId="041AD370" w14:textId="77777777" w:rsidTr="009244FE">
        <w:tc>
          <w:tcPr>
            <w:cnfStyle w:val="001000000000" w:firstRow="0" w:lastRow="0" w:firstColumn="1" w:lastColumn="0" w:oddVBand="0" w:evenVBand="0" w:oddHBand="0" w:evenHBand="0" w:firstRowFirstColumn="0" w:firstRowLastColumn="0" w:lastRowFirstColumn="0" w:lastRowLastColumn="0"/>
            <w:tcW w:w="4945" w:type="dxa"/>
          </w:tcPr>
          <w:p w14:paraId="1B7B2E4C" w14:textId="059EA2AE" w:rsidR="009244FE" w:rsidRPr="006511E6" w:rsidRDefault="009244FE" w:rsidP="00B31E9C">
            <w:pPr>
              <w:rPr>
                <w:b w:val="0"/>
                <w:bCs w:val="0"/>
                <w:i/>
                <w:iCs/>
              </w:rPr>
            </w:pPr>
            <w:r w:rsidRPr="006511E6">
              <w:rPr>
                <w:b w:val="0"/>
                <w:bCs w:val="0"/>
                <w:i/>
                <w:iCs/>
              </w:rPr>
              <w:t>Teucrium canadense </w:t>
            </w:r>
          </w:p>
        </w:tc>
        <w:tc>
          <w:tcPr>
            <w:tcW w:w="4680" w:type="dxa"/>
          </w:tcPr>
          <w:p w14:paraId="5FABD939" w14:textId="77777777" w:rsidR="009244FE" w:rsidRPr="006511E6" w:rsidRDefault="009244FE" w:rsidP="00B31E9C">
            <w:pPr>
              <w:cnfStyle w:val="000000000000" w:firstRow="0" w:lastRow="0" w:firstColumn="0" w:lastColumn="0" w:oddVBand="0" w:evenVBand="0" w:oddHBand="0" w:evenHBand="0" w:firstRowFirstColumn="0" w:firstRowLastColumn="0" w:lastRowFirstColumn="0" w:lastRowLastColumn="0"/>
            </w:pPr>
            <w:r w:rsidRPr="006511E6">
              <w:t>Germander</w:t>
            </w:r>
          </w:p>
        </w:tc>
      </w:tr>
      <w:tr w:rsidR="009244FE" w:rsidRPr="007A5700" w14:paraId="11CB886B" w14:textId="77777777" w:rsidTr="009244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5" w:type="dxa"/>
          </w:tcPr>
          <w:p w14:paraId="142E2DE2" w14:textId="52746CFD" w:rsidR="009244FE" w:rsidRPr="006511E6" w:rsidRDefault="009244FE" w:rsidP="00B31E9C">
            <w:pPr>
              <w:rPr>
                <w:b w:val="0"/>
                <w:bCs w:val="0"/>
                <w:i/>
                <w:iCs/>
              </w:rPr>
            </w:pPr>
            <w:r w:rsidRPr="006511E6">
              <w:rPr>
                <w:b w:val="0"/>
                <w:bCs w:val="0"/>
                <w:i/>
                <w:iCs/>
              </w:rPr>
              <w:t xml:space="preserve">Verbena stricta </w:t>
            </w:r>
          </w:p>
        </w:tc>
        <w:tc>
          <w:tcPr>
            <w:tcW w:w="4680" w:type="dxa"/>
          </w:tcPr>
          <w:p w14:paraId="4AA2E170" w14:textId="77777777" w:rsidR="009244FE" w:rsidRPr="006511E6" w:rsidRDefault="009244FE" w:rsidP="00B31E9C">
            <w:pPr>
              <w:cnfStyle w:val="000000100000" w:firstRow="0" w:lastRow="0" w:firstColumn="0" w:lastColumn="0" w:oddVBand="0" w:evenVBand="0" w:oddHBand="1" w:evenHBand="0" w:firstRowFirstColumn="0" w:firstRowLastColumn="0" w:lastRowFirstColumn="0" w:lastRowLastColumn="0"/>
            </w:pPr>
            <w:r w:rsidRPr="006511E6">
              <w:t>Hoary Vervain</w:t>
            </w:r>
          </w:p>
        </w:tc>
      </w:tr>
      <w:bookmarkEnd w:id="3"/>
    </w:tbl>
    <w:p w14:paraId="483D37C1" w14:textId="77777777" w:rsidR="0083491B" w:rsidRDefault="0083491B" w:rsidP="0083491B"/>
    <w:p w14:paraId="498648C0" w14:textId="77777777" w:rsidR="00B8613E" w:rsidRDefault="00B8613E" w:rsidP="00A0508F">
      <w:pPr>
        <w:rPr>
          <w:b/>
          <w:bCs/>
          <w:sz w:val="40"/>
          <w:szCs w:val="40"/>
        </w:rPr>
      </w:pPr>
    </w:p>
    <w:p w14:paraId="5DCDED00" w14:textId="2E9948B0" w:rsidR="00211590" w:rsidRPr="00211590" w:rsidRDefault="13A5C182" w:rsidP="00A0508F">
      <w:pPr>
        <w:rPr>
          <w:b/>
          <w:bCs/>
          <w:sz w:val="40"/>
          <w:szCs w:val="40"/>
        </w:rPr>
      </w:pPr>
      <w:r w:rsidRPr="34F8BDD8">
        <w:rPr>
          <w:b/>
          <w:bCs/>
          <w:sz w:val="40"/>
          <w:szCs w:val="40"/>
        </w:rPr>
        <w:t>Dry Prairie Northwest</w:t>
      </w:r>
      <w:r w:rsidR="00D4588B" w:rsidRPr="34F8BDD8">
        <w:rPr>
          <w:b/>
          <w:bCs/>
          <w:sz w:val="40"/>
          <w:szCs w:val="40"/>
        </w:rPr>
        <w:t xml:space="preserve"> </w:t>
      </w:r>
      <w:r w:rsidR="00211590" w:rsidRPr="34F8BDD8">
        <w:rPr>
          <w:b/>
          <w:bCs/>
          <w:sz w:val="40"/>
          <w:szCs w:val="40"/>
        </w:rPr>
        <w:t xml:space="preserve">Seed Mix Guidance </w:t>
      </w:r>
    </w:p>
    <w:p w14:paraId="4009FC21" w14:textId="77777777" w:rsidR="00211590" w:rsidRDefault="00DC6F8D" w:rsidP="00A0508F">
      <w:pPr>
        <w:rPr>
          <w:b/>
          <w:bCs/>
        </w:rPr>
      </w:pPr>
      <w:r>
        <w:rPr>
          <w:b/>
          <w:bCs/>
        </w:rPr>
        <w:t>(MIX IMAGE)</w:t>
      </w:r>
    </w:p>
    <w:p w14:paraId="5A1A63BD" w14:textId="77777777" w:rsidR="00DC6F8D" w:rsidRDefault="00DC6F8D" w:rsidP="00A0508F">
      <w:pPr>
        <w:rPr>
          <w:b/>
          <w:bCs/>
        </w:rPr>
      </w:pPr>
    </w:p>
    <w:p w14:paraId="4E9C7BC7" w14:textId="3555821C" w:rsidR="000B157C" w:rsidRDefault="000B157C" w:rsidP="000B157C">
      <w:r w:rsidRPr="71A9A423">
        <w:rPr>
          <w:b/>
          <w:bCs/>
        </w:rPr>
        <w:t>Seed mix name:</w:t>
      </w:r>
      <w:r>
        <w:t xml:space="preserve"> </w:t>
      </w:r>
      <w:r w:rsidR="5800C44B">
        <w:t xml:space="preserve">Dry Prairie Northwest </w:t>
      </w:r>
      <w:r w:rsidR="17F30821">
        <w:t>35-42</w:t>
      </w:r>
      <w:r w:rsidR="43CCE0D1">
        <w:t>2</w:t>
      </w:r>
    </w:p>
    <w:p w14:paraId="3042CAF2" w14:textId="35597529" w:rsidR="000B157C" w:rsidRDefault="000B157C" w:rsidP="000B157C">
      <w:r w:rsidRPr="34F8BDD8">
        <w:rPr>
          <w:b/>
          <w:bCs/>
        </w:rPr>
        <w:t>Geographic area:</w:t>
      </w:r>
      <w:r>
        <w:t xml:space="preserve"> Minnesota, Statewide </w:t>
      </w:r>
    </w:p>
    <w:p w14:paraId="0D7062FC" w14:textId="77777777" w:rsidR="000B157C" w:rsidRDefault="000B157C" w:rsidP="000B157C">
      <w:r w:rsidRPr="00211590">
        <w:rPr>
          <w:b/>
          <w:bCs/>
        </w:rPr>
        <w:t>Year of development:</w:t>
      </w:r>
      <w:r>
        <w:t>2009</w:t>
      </w:r>
    </w:p>
    <w:p w14:paraId="2B921273" w14:textId="2CE78C92" w:rsidR="000B157C" w:rsidRDefault="000B157C" w:rsidP="000B157C">
      <w:r w:rsidRPr="00211590">
        <w:rPr>
          <w:b/>
          <w:bCs/>
        </w:rPr>
        <w:t>Year/s of update:</w:t>
      </w:r>
      <w:r>
        <w:t xml:space="preserve">  </w:t>
      </w:r>
      <w:r w:rsidR="009244FE">
        <w:t>2023</w:t>
      </w:r>
    </w:p>
    <w:p w14:paraId="1DDA8266" w14:textId="77777777" w:rsidR="000B157C" w:rsidRDefault="000B157C" w:rsidP="000B157C">
      <w:r w:rsidRPr="00211590">
        <w:rPr>
          <w:b/>
          <w:bCs/>
        </w:rPr>
        <w:t>Status</w:t>
      </w:r>
      <w:r>
        <w:t xml:space="preserve"> (Standard or Pilot mix): Standard</w:t>
      </w:r>
    </w:p>
    <w:p w14:paraId="62C93481" w14:textId="77777777" w:rsidR="000B157C" w:rsidRPr="00211590" w:rsidRDefault="00924A29" w:rsidP="000B157C">
      <w:pPr>
        <w:rPr>
          <w:b/>
          <w:bCs/>
        </w:rPr>
      </w:pPr>
      <w:r>
        <w:rPr>
          <w:b/>
          <w:bCs/>
        </w:rPr>
        <w:t>P</w:t>
      </w:r>
      <w:r w:rsidR="000B157C" w:rsidRPr="00211590">
        <w:rPr>
          <w:b/>
          <w:bCs/>
        </w:rPr>
        <w:t xml:space="preserve">rimary and Secondary Functions: </w:t>
      </w:r>
    </w:p>
    <w:p w14:paraId="5BF03492" w14:textId="0CB0EDFC" w:rsidR="000B157C" w:rsidRDefault="000B157C" w:rsidP="000B157C">
      <w:r w:rsidRPr="00CE584B">
        <w:rPr>
          <w:rStyle w:val="IntenseEmphasis"/>
        </w:rPr>
        <w:t>Primary</w:t>
      </w:r>
      <w:r>
        <w:t xml:space="preserve"> – Wildlife habitat and soil stabilization, water </w:t>
      </w:r>
      <w:r w:rsidR="00101EDC">
        <w:t>quality benefits</w:t>
      </w:r>
    </w:p>
    <w:p w14:paraId="5D93D4C4" w14:textId="77777777" w:rsidR="000B157C" w:rsidRDefault="000B157C" w:rsidP="000B157C">
      <w:r w:rsidRPr="00CE584B">
        <w:rPr>
          <w:rStyle w:val="IntenseEmphasis"/>
        </w:rPr>
        <w:t>Secondary</w:t>
      </w:r>
      <w:r>
        <w:t xml:space="preserve"> – Carbon Sequestration, emission reductions, pollinator habitat, songbird habitat</w:t>
      </w:r>
    </w:p>
    <w:p w14:paraId="1C7DE783" w14:textId="236D1740" w:rsidR="000B157C" w:rsidRDefault="000B157C" w:rsidP="34F8BDD8">
      <w:pPr>
        <w:rPr>
          <w:rFonts w:eastAsia="Calibri"/>
        </w:rPr>
      </w:pPr>
      <w:r w:rsidRPr="71A9A423">
        <w:rPr>
          <w:b/>
          <w:bCs/>
        </w:rPr>
        <w:t>Similar State Mixes:</w:t>
      </w:r>
      <w:r>
        <w:t xml:space="preserve"> </w:t>
      </w:r>
      <w:r w:rsidR="0B75DCD6" w:rsidRPr="71A9A423">
        <w:rPr>
          <w:rFonts w:eastAsia="Calibri"/>
        </w:rPr>
        <w:t>35-22</w:t>
      </w:r>
      <w:r w:rsidR="362A1398" w:rsidRPr="71A9A423">
        <w:rPr>
          <w:rFonts w:eastAsia="Calibri"/>
        </w:rPr>
        <w:t>2</w:t>
      </w:r>
      <w:r w:rsidR="1DD56C63" w:rsidRPr="71A9A423">
        <w:rPr>
          <w:rFonts w:eastAsia="Calibri"/>
        </w:rPr>
        <w:t xml:space="preserve"> </w:t>
      </w:r>
      <w:r w:rsidR="0B75DCD6" w:rsidRPr="71A9A423">
        <w:rPr>
          <w:rFonts w:eastAsia="Calibri"/>
        </w:rPr>
        <w:t>Dry Prairie General</w:t>
      </w:r>
      <w:r w:rsidR="360F9790" w:rsidRPr="71A9A423">
        <w:rPr>
          <w:rFonts w:eastAsia="Calibri"/>
        </w:rPr>
        <w:t xml:space="preserve">, </w:t>
      </w:r>
      <w:r w:rsidR="0B75DCD6" w:rsidRPr="71A9A423">
        <w:rPr>
          <w:rFonts w:eastAsia="Calibri"/>
        </w:rPr>
        <w:t>35-52</w:t>
      </w:r>
      <w:r w:rsidR="4C1250B2" w:rsidRPr="71A9A423">
        <w:rPr>
          <w:rFonts w:eastAsia="Calibri"/>
        </w:rPr>
        <w:t>2</w:t>
      </w:r>
      <w:r w:rsidR="30872EBC" w:rsidRPr="71A9A423">
        <w:rPr>
          <w:rFonts w:eastAsia="Calibri"/>
        </w:rPr>
        <w:t xml:space="preserve"> </w:t>
      </w:r>
      <w:r w:rsidR="0B75DCD6" w:rsidRPr="71A9A423">
        <w:rPr>
          <w:rFonts w:eastAsia="Calibri"/>
        </w:rPr>
        <w:t>Dry Prairie Southwest</w:t>
      </w:r>
      <w:r w:rsidR="64965D42" w:rsidRPr="71A9A423">
        <w:rPr>
          <w:rFonts w:eastAsia="Calibri"/>
        </w:rPr>
        <w:t xml:space="preserve">, </w:t>
      </w:r>
      <w:r w:rsidR="0B75DCD6" w:rsidRPr="71A9A423">
        <w:rPr>
          <w:rFonts w:eastAsia="Calibri"/>
        </w:rPr>
        <w:t>35-62</w:t>
      </w:r>
      <w:r w:rsidR="6733B7F2" w:rsidRPr="71A9A423">
        <w:rPr>
          <w:rFonts w:eastAsia="Calibri"/>
        </w:rPr>
        <w:t>2</w:t>
      </w:r>
      <w:r w:rsidR="7C50C4AF" w:rsidRPr="71A9A423">
        <w:rPr>
          <w:rFonts w:eastAsia="Calibri"/>
        </w:rPr>
        <w:t xml:space="preserve"> </w:t>
      </w:r>
      <w:r w:rsidR="0B75DCD6" w:rsidRPr="71A9A423">
        <w:rPr>
          <w:rFonts w:eastAsia="Calibri"/>
        </w:rPr>
        <w:t>Dry Prairie Southeast</w:t>
      </w:r>
      <w:r>
        <w:tab/>
      </w:r>
    </w:p>
    <w:p w14:paraId="2D9E61A4" w14:textId="555AA085" w:rsidR="00924A29" w:rsidRDefault="00924A29" w:rsidP="00924A29">
      <w:r>
        <w:rPr>
          <w:b/>
          <w:bCs/>
        </w:rPr>
        <w:t xml:space="preserve">Compatible </w:t>
      </w:r>
      <w:r w:rsidRPr="00924A29">
        <w:rPr>
          <w:b/>
          <w:bCs/>
        </w:rPr>
        <w:t xml:space="preserve">NRCS Practice </w:t>
      </w:r>
      <w:r w:rsidR="001C2EE8" w:rsidRPr="00924A29">
        <w:rPr>
          <w:b/>
          <w:bCs/>
        </w:rPr>
        <w:t>Standard</w:t>
      </w:r>
      <w:r w:rsidR="001C2EE8">
        <w:rPr>
          <w:b/>
          <w:bCs/>
        </w:rPr>
        <w:t>s:</w:t>
      </w:r>
      <w:r>
        <w:t xml:space="preserve"> 643</w:t>
      </w:r>
    </w:p>
    <w:p w14:paraId="3014936A" w14:textId="0524237B" w:rsidR="00924A29" w:rsidRDefault="00924A29" w:rsidP="00924A29">
      <w:r>
        <w:rPr>
          <w:b/>
          <w:bCs/>
        </w:rPr>
        <w:t xml:space="preserve">Compatible </w:t>
      </w:r>
      <w:r w:rsidRPr="00924A29">
        <w:rPr>
          <w:b/>
          <w:bCs/>
        </w:rPr>
        <w:t>Minnesota CRP Practices:</w:t>
      </w:r>
      <w:r>
        <w:t xml:space="preserve"> CP23A, CP25, CP28, CP38E</w:t>
      </w:r>
    </w:p>
    <w:p w14:paraId="5671DD48" w14:textId="77777777" w:rsidR="006D3AFC" w:rsidRDefault="006D3AFC" w:rsidP="00924A29"/>
    <w:p w14:paraId="20682440" w14:textId="0A8CBA48" w:rsidR="000B157C" w:rsidRDefault="000B157C" w:rsidP="000B157C">
      <w:r w:rsidRPr="00211590">
        <w:rPr>
          <w:b/>
          <w:bCs/>
        </w:rPr>
        <w:t xml:space="preserve">Suitable </w:t>
      </w:r>
      <w:r>
        <w:rPr>
          <w:b/>
          <w:bCs/>
        </w:rPr>
        <w:t>S</w:t>
      </w:r>
      <w:r w:rsidRPr="00211590">
        <w:rPr>
          <w:b/>
          <w:bCs/>
        </w:rPr>
        <w:t xml:space="preserve">ite </w:t>
      </w:r>
      <w:r>
        <w:rPr>
          <w:b/>
          <w:bCs/>
        </w:rPr>
        <w:t>C</w:t>
      </w:r>
      <w:r w:rsidRPr="00211590">
        <w:rPr>
          <w:b/>
          <w:bCs/>
        </w:rPr>
        <w:t>onditions:</w:t>
      </w:r>
      <w:r>
        <w:t xml:space="preserve"> Areas with mesic soils and full sun for at least 70% of the day where land is being converted from other uses such as agriculture or non-native grasses to a prairie reconstruction. </w:t>
      </w:r>
    </w:p>
    <w:p w14:paraId="53D309F0" w14:textId="77777777" w:rsidR="003102E2" w:rsidRDefault="003102E2" w:rsidP="000B157C"/>
    <w:p w14:paraId="56435D73" w14:textId="6942E474" w:rsidR="000B157C" w:rsidRDefault="000B157C" w:rsidP="000B157C">
      <w:r w:rsidRPr="00DC6F8D">
        <w:rPr>
          <w:b/>
          <w:bCs/>
        </w:rPr>
        <w:lastRenderedPageBreak/>
        <w:t xml:space="preserve">How </w:t>
      </w:r>
      <w:r>
        <w:rPr>
          <w:b/>
          <w:bCs/>
        </w:rPr>
        <w:t>to</w:t>
      </w:r>
      <w:r w:rsidRPr="00DC6F8D">
        <w:rPr>
          <w:b/>
          <w:bCs/>
        </w:rPr>
        <w:t xml:space="preserve"> </w:t>
      </w:r>
      <w:r>
        <w:rPr>
          <w:b/>
          <w:bCs/>
        </w:rPr>
        <w:t>M</w:t>
      </w:r>
      <w:r w:rsidRPr="00DC6F8D">
        <w:rPr>
          <w:b/>
          <w:bCs/>
        </w:rPr>
        <w:t>odif</w:t>
      </w:r>
      <w:r>
        <w:rPr>
          <w:b/>
          <w:bCs/>
        </w:rPr>
        <w:t>y</w:t>
      </w:r>
      <w:r w:rsidRPr="00DC6F8D">
        <w:rPr>
          <w:b/>
          <w:bCs/>
        </w:rPr>
        <w:t xml:space="preserve"> for </w:t>
      </w:r>
      <w:r>
        <w:rPr>
          <w:b/>
          <w:bCs/>
        </w:rPr>
        <w:t>S</w:t>
      </w:r>
      <w:r w:rsidRPr="00DC6F8D">
        <w:rPr>
          <w:b/>
          <w:bCs/>
        </w:rPr>
        <w:t xml:space="preserve">ite </w:t>
      </w:r>
      <w:r>
        <w:rPr>
          <w:b/>
          <w:bCs/>
        </w:rPr>
        <w:t>C</w:t>
      </w:r>
      <w:r w:rsidRPr="00DC6F8D">
        <w:rPr>
          <w:b/>
          <w:bCs/>
        </w:rPr>
        <w:t xml:space="preserve">onditions and </w:t>
      </w:r>
      <w:r>
        <w:rPr>
          <w:b/>
          <w:bCs/>
        </w:rPr>
        <w:t>G</w:t>
      </w:r>
      <w:r w:rsidRPr="00DC6F8D">
        <w:rPr>
          <w:b/>
          <w:bCs/>
        </w:rPr>
        <w:t>oals:</w:t>
      </w:r>
      <w:r>
        <w:t xml:space="preserve"> This mix includes a list of additional species that can be considered to add species diversity. Site conditions such as sunlight, soils, </w:t>
      </w:r>
      <w:proofErr w:type="gramStart"/>
      <w:r>
        <w:t>hydrology</w:t>
      </w:r>
      <w:proofErr w:type="gramEnd"/>
      <w:r>
        <w:t xml:space="preserve"> and existing vegetation along with functional goals for the project such as carbon sequestration, pollinator habitat, and benefit to </w:t>
      </w:r>
      <w:r w:rsidR="000172D9">
        <w:t xml:space="preserve">grassland </w:t>
      </w:r>
      <w:r>
        <w:t xml:space="preserve">bird species can all have an influence on species selection and the modification of seed mixes. </w:t>
      </w:r>
    </w:p>
    <w:p w14:paraId="4643130D" w14:textId="77777777" w:rsidR="006D3AFC" w:rsidRDefault="006D3AFC" w:rsidP="000B157C"/>
    <w:p w14:paraId="7164F970" w14:textId="222D05DD" w:rsidR="00DA021C" w:rsidRDefault="000B157C" w:rsidP="000B157C">
      <w:pPr>
        <w:pStyle w:val="Default"/>
      </w:pPr>
      <w:r w:rsidRPr="00D81A3F">
        <w:rPr>
          <w:b/>
          <w:bCs/>
          <w:sz w:val="22"/>
          <w:szCs w:val="22"/>
        </w:rPr>
        <w:t>Site Preparation:</w:t>
      </w:r>
      <w:r>
        <w:t xml:space="preserve">  </w:t>
      </w:r>
      <w:r>
        <w:rPr>
          <w:sz w:val="22"/>
          <w:szCs w:val="22"/>
        </w:rPr>
        <w:t>Primary goals for site preparation tend to focus on controlling weed species and providing ideal growing conditions for seed or plants to be installed. Site preparation methods vary depending on past uses of the site</w:t>
      </w:r>
      <w:r w:rsidR="000172D9">
        <w:rPr>
          <w:sz w:val="22"/>
          <w:szCs w:val="22"/>
        </w:rPr>
        <w:t xml:space="preserve"> that can contribute to soil condition</w:t>
      </w:r>
      <w:r>
        <w:rPr>
          <w:sz w:val="22"/>
          <w:szCs w:val="22"/>
        </w:rPr>
        <w:t xml:space="preserve"> and </w:t>
      </w:r>
      <w:r w:rsidR="000172D9">
        <w:rPr>
          <w:sz w:val="22"/>
          <w:szCs w:val="22"/>
        </w:rPr>
        <w:t>the amount and type of problematic weed species</w:t>
      </w:r>
      <w:r>
        <w:rPr>
          <w:sz w:val="22"/>
          <w:szCs w:val="22"/>
        </w:rPr>
        <w:t xml:space="preserve"> present. The protection of microorganism populations and native seedbanks, preventing soil erosion, and managing weed establishment are all considerations during the site preparation process. In most cases, non-herbicide methods are preferred over </w:t>
      </w:r>
      <w:r w:rsidR="000172D9">
        <w:rPr>
          <w:sz w:val="22"/>
          <w:szCs w:val="22"/>
        </w:rPr>
        <w:t xml:space="preserve">methods that include repeated, intensive </w:t>
      </w:r>
      <w:r w:rsidR="00937762">
        <w:rPr>
          <w:sz w:val="22"/>
          <w:szCs w:val="22"/>
        </w:rPr>
        <w:t>herbicide methods</w:t>
      </w:r>
      <w:r>
        <w:rPr>
          <w:sz w:val="22"/>
          <w:szCs w:val="22"/>
        </w:rPr>
        <w:t xml:space="preserve"> to protect aquatic organisms and soil microfauna, but </w:t>
      </w:r>
      <w:r w:rsidR="00D2172D">
        <w:rPr>
          <w:sz w:val="22"/>
          <w:szCs w:val="22"/>
        </w:rPr>
        <w:t xml:space="preserve">on large acreages </w:t>
      </w:r>
      <w:r>
        <w:rPr>
          <w:sz w:val="22"/>
          <w:szCs w:val="22"/>
        </w:rPr>
        <w:t xml:space="preserve">herbicides may be the most efficient method of controlling some invasive perennial species. It is common for many conservation plantings to transition from corn or soybean production. </w:t>
      </w:r>
      <w:r w:rsidR="000172D9">
        <w:rPr>
          <w:sz w:val="22"/>
          <w:szCs w:val="22"/>
        </w:rPr>
        <w:t xml:space="preserve">Fields that have been in agricultural production will need a chemical history </w:t>
      </w:r>
      <w:proofErr w:type="gramStart"/>
      <w:r w:rsidR="000172D9">
        <w:rPr>
          <w:sz w:val="22"/>
          <w:szCs w:val="22"/>
        </w:rPr>
        <w:t>in order to</w:t>
      </w:r>
      <w:proofErr w:type="gramEnd"/>
      <w:r w:rsidR="000172D9">
        <w:rPr>
          <w:sz w:val="22"/>
          <w:szCs w:val="22"/>
        </w:rPr>
        <w:t xml:space="preserve"> know if there will be herbicide carry-over that may prevent growth or harm vegetation establishment. </w:t>
      </w:r>
      <w:r>
        <w:rPr>
          <w:sz w:val="22"/>
          <w:szCs w:val="22"/>
        </w:rPr>
        <w:t xml:space="preserve">Another consideration is that several chemicals being used for </w:t>
      </w:r>
      <w:proofErr w:type="gramStart"/>
      <w:r>
        <w:rPr>
          <w:sz w:val="22"/>
          <w:szCs w:val="22"/>
        </w:rPr>
        <w:t>weed</w:t>
      </w:r>
      <w:proofErr w:type="gramEnd"/>
      <w:r>
        <w:rPr>
          <w:sz w:val="22"/>
          <w:szCs w:val="22"/>
        </w:rPr>
        <w:t xml:space="preserve"> control, </w:t>
      </w:r>
      <w:r w:rsidR="000172D9">
        <w:rPr>
          <w:sz w:val="22"/>
          <w:szCs w:val="22"/>
        </w:rPr>
        <w:t>including</w:t>
      </w:r>
      <w:r>
        <w:rPr>
          <w:sz w:val="22"/>
          <w:szCs w:val="22"/>
        </w:rPr>
        <w:t xml:space="preserve"> Glyphosate act as pre-</w:t>
      </w:r>
      <w:proofErr w:type="spellStart"/>
      <w:r>
        <w:rPr>
          <w:sz w:val="22"/>
          <w:szCs w:val="22"/>
        </w:rPr>
        <w:t>emergents</w:t>
      </w:r>
      <w:proofErr w:type="spellEnd"/>
      <w:r>
        <w:rPr>
          <w:sz w:val="22"/>
          <w:szCs w:val="22"/>
        </w:rPr>
        <w:t xml:space="preserve"> or post-</w:t>
      </w:r>
      <w:proofErr w:type="spellStart"/>
      <w:r>
        <w:rPr>
          <w:sz w:val="22"/>
          <w:szCs w:val="22"/>
        </w:rPr>
        <w:t>emergents</w:t>
      </w:r>
      <w:proofErr w:type="spellEnd"/>
      <w:r>
        <w:rPr>
          <w:sz w:val="22"/>
          <w:szCs w:val="22"/>
        </w:rPr>
        <w:t xml:space="preserve"> (designed to inhibit germination) and can be a problem for native vegetation establishment from seed. Investigate prior chemical use and labels to help define probability of having chemical carryover that could/should be addressed by using temporary cover crops to allow time for chemicals to break down. </w:t>
      </w:r>
      <w:r>
        <w:t xml:space="preserve">If a site is </w:t>
      </w:r>
      <w:r w:rsidR="00BC6BD2">
        <w:t>dominated by</w:t>
      </w:r>
      <w:r w:rsidR="00B775FD">
        <w:t xml:space="preserve"> </w:t>
      </w:r>
      <w:r w:rsidR="00BC6BD2">
        <w:t>problematic</w:t>
      </w:r>
      <w:r>
        <w:t xml:space="preserve"> perennial weeds such as smooth brome, quack </w:t>
      </w:r>
      <w:proofErr w:type="gramStart"/>
      <w:r>
        <w:t>grass</w:t>
      </w:r>
      <w:proofErr w:type="gramEnd"/>
      <w:r>
        <w:t xml:space="preserve"> or bluegrass</w:t>
      </w:r>
      <w:r w:rsidR="00BC6BD2">
        <w:t xml:space="preserve">, it will need to have a longer site </w:t>
      </w:r>
      <w:r w:rsidR="004430B8">
        <w:t>prep time</w:t>
      </w:r>
      <w:r w:rsidR="00BC6BD2">
        <w:t xml:space="preserve"> prior to planting. One way to do this is to use 1-2 seasons of agricultural row-crops or densely seeded temporary covers. Temporary covers both act to smother problematic weeds and improve overall soil structure and function. </w:t>
      </w:r>
      <w:r>
        <w:t xml:space="preserve"> </w:t>
      </w:r>
      <w:r w:rsidR="00BC6BD2">
        <w:t>For sites in agricultural production, h</w:t>
      </w:r>
      <w:r>
        <w:t>erbicide application is often recommended, as tilling alone may re-suspend the rhizomes, allowing them to continue growing.</w:t>
      </w:r>
    </w:p>
    <w:p w14:paraId="1338228F" w14:textId="77777777" w:rsidR="00124784" w:rsidRDefault="00124784" w:rsidP="000B157C">
      <w:pPr>
        <w:pStyle w:val="Default"/>
      </w:pPr>
    </w:p>
    <w:p w14:paraId="62A7DCF8" w14:textId="17996517" w:rsidR="00D81A3F" w:rsidRPr="00D81A3F" w:rsidRDefault="00D81A3F" w:rsidP="00DC6F8D">
      <w:pPr>
        <w:rPr>
          <w:b/>
          <w:bCs/>
        </w:rPr>
      </w:pPr>
      <w:r w:rsidRPr="00D81A3F">
        <w:rPr>
          <w:b/>
          <w:bCs/>
        </w:rPr>
        <w:t>Seeding Dates</w:t>
      </w:r>
    </w:p>
    <w:p w14:paraId="55B6ABCD" w14:textId="04961717" w:rsidR="00A75FE4" w:rsidRDefault="00A75FE4" w:rsidP="00A75FE4">
      <w:r>
        <w:rPr>
          <w:color w:val="000000"/>
        </w:rPr>
        <w:t xml:space="preserve">Prairies seed mixes can be installed in the spring or fall. Spring seedings should be done on or around May 1-July 1 when soil temperatures are at least 60 degrees Fahrenheit or higher. Fall seeding should occur when soil temperatures fall below 50 degrees Fahrenheit for a consistent </w:t>
      </w:r>
      <w:proofErr w:type="gramStart"/>
      <w:r>
        <w:rPr>
          <w:color w:val="000000"/>
        </w:rPr>
        <w:t>period of time</w:t>
      </w:r>
      <w:proofErr w:type="gramEnd"/>
      <w:r>
        <w:rPr>
          <w:color w:val="000000"/>
        </w:rPr>
        <w:t xml:space="preserve"> (usually around </w:t>
      </w:r>
      <w:r w:rsidRPr="00D6218E">
        <w:rPr>
          <w:color w:val="000000"/>
        </w:rPr>
        <w:t>October 15 in the northern half of the state and November 1 in the southern half of the state</w:t>
      </w:r>
      <w:r>
        <w:rPr>
          <w:color w:val="000000"/>
        </w:rPr>
        <w:t>). Fall dormant seedings can help reduce weed pressure during the first year of growth because cool-season grasses and forbs germinate earlier and start competing with weed species right away. Frost seedings are also an option if the snow cover is not too deep. For a frost seeding, s</w:t>
      </w:r>
      <w:r w:rsidRPr="00D6218E">
        <w:rPr>
          <w:color w:val="000000"/>
        </w:rPr>
        <w:t>eeding rates may need to be increased by 25 percent due to lower germination rates and loss of seed that is consumed by wildlife over the winter months.</w:t>
      </w:r>
      <w:r>
        <w:rPr>
          <w:color w:val="000000"/>
        </w:rPr>
        <w:t xml:space="preserve"> In general, grasses are most successful with a spring/early summer seeding while forbs are most successful with a fall dormant seeding, as most forbs require a winter to break their seed dormancy before they can start growing. </w:t>
      </w:r>
      <w:r w:rsidR="00FE5B91">
        <w:t>Planting dates will vary depending on the weather in a particular year and where the planting site is located (e.g., northern Minnesota versus southern Minnesota). Consult with native seed suppliers to determine the best planting dates for that year.</w:t>
      </w:r>
    </w:p>
    <w:p w14:paraId="0D006E07" w14:textId="77777777" w:rsidR="00124784" w:rsidRPr="004E1BA4" w:rsidRDefault="00124784" w:rsidP="00A75FE4">
      <w:pPr>
        <w:rPr>
          <w:color w:val="000000"/>
        </w:rPr>
      </w:pPr>
    </w:p>
    <w:p w14:paraId="130FEE19" w14:textId="77777777" w:rsidR="00D81A3F" w:rsidRPr="00D81A3F" w:rsidRDefault="00D81A3F" w:rsidP="00DC6F8D">
      <w:pPr>
        <w:rPr>
          <w:b/>
          <w:bCs/>
        </w:rPr>
      </w:pPr>
      <w:r w:rsidRPr="00D81A3F">
        <w:rPr>
          <w:b/>
          <w:bCs/>
        </w:rPr>
        <w:t xml:space="preserve">Seedbed preparation </w:t>
      </w:r>
    </w:p>
    <w:p w14:paraId="3A525BBC" w14:textId="77777777" w:rsidR="00124784" w:rsidRDefault="00DA021C" w:rsidP="00DA021C">
      <w:pPr>
        <w:pStyle w:val="Default"/>
        <w:rPr>
          <w:sz w:val="22"/>
          <w:szCs w:val="22"/>
        </w:rPr>
      </w:pPr>
      <w:r>
        <w:rPr>
          <w:sz w:val="22"/>
          <w:szCs w:val="22"/>
        </w:rPr>
        <w:lastRenderedPageBreak/>
        <w:t xml:space="preserve">Methods that are used to prepare a seedbed can vary depending on the type of seeding equipment to be used. If a traditional native seed drill will be used, a smooth, firm seedbed is required. Soybean fields generally are sufficiently prepared for a native seed drill, but sites that were recently tilled will require additional soil treatment such as harrowing and rolling to prepare an adequate seedbed and prevent seed from being buried too deep. Broadcast seeding can be conducted on soybean or corn fields, or fields that have been disked, </w:t>
      </w:r>
      <w:proofErr w:type="gramStart"/>
      <w:r>
        <w:rPr>
          <w:sz w:val="22"/>
          <w:szCs w:val="22"/>
        </w:rPr>
        <w:t>as long as</w:t>
      </w:r>
      <w:proofErr w:type="gramEnd"/>
      <w:r>
        <w:rPr>
          <w:sz w:val="22"/>
          <w:szCs w:val="22"/>
        </w:rPr>
        <w:t xml:space="preserve"> the soil is allowed to settle before seeding. Some practitioners have found that broadcast seeding on a smooth surface (not tilled or disked) leads to the establishment of higher diversity. It is important that the soil surface is not too hard packed, so </w:t>
      </w:r>
      <w:proofErr w:type="spellStart"/>
      <w:r>
        <w:rPr>
          <w:sz w:val="22"/>
          <w:szCs w:val="22"/>
        </w:rPr>
        <w:t>cultipacking</w:t>
      </w:r>
      <w:proofErr w:type="spellEnd"/>
      <w:r>
        <w:rPr>
          <w:sz w:val="22"/>
          <w:szCs w:val="22"/>
        </w:rPr>
        <w:t xml:space="preserve"> or light harrowing of crop fields before broadcast seeding may be needed. Seed can be lost on smooth surfaces, so it is recommended to seed into temporary cover crops or to roll sites after seeding.</w:t>
      </w:r>
    </w:p>
    <w:p w14:paraId="652DECAD" w14:textId="630B0F2F" w:rsidR="00DA021C" w:rsidRDefault="00DA021C" w:rsidP="00DA021C">
      <w:pPr>
        <w:pStyle w:val="Default"/>
        <w:rPr>
          <w:sz w:val="22"/>
          <w:szCs w:val="22"/>
        </w:rPr>
      </w:pPr>
      <w:r>
        <w:rPr>
          <w:sz w:val="22"/>
          <w:szCs w:val="22"/>
        </w:rPr>
        <w:t xml:space="preserve"> </w:t>
      </w:r>
    </w:p>
    <w:p w14:paraId="2DDDA082" w14:textId="77777777" w:rsidR="00D25655" w:rsidRPr="00D25655" w:rsidRDefault="00D25655" w:rsidP="00D25655">
      <w:pPr>
        <w:autoSpaceDE w:val="0"/>
        <w:autoSpaceDN w:val="0"/>
        <w:adjustRightInd w:val="0"/>
        <w:rPr>
          <w:rFonts w:asciiTheme="minorHAnsi" w:hAnsiTheme="minorHAnsi" w:cstheme="minorHAnsi"/>
          <w:color w:val="000000"/>
        </w:rPr>
      </w:pPr>
      <w:r w:rsidRPr="00D25655">
        <w:rPr>
          <w:rFonts w:asciiTheme="minorHAnsi" w:hAnsiTheme="minorHAnsi" w:cstheme="minorHAnsi"/>
          <w:b/>
          <w:bCs/>
          <w:i/>
          <w:iCs/>
          <w:color w:val="000000"/>
        </w:rPr>
        <w:t xml:space="preserve">Temporary Cover Crops and Mulch </w:t>
      </w:r>
    </w:p>
    <w:p w14:paraId="2A637824" w14:textId="7DB25E9D" w:rsidR="00DA021C" w:rsidRDefault="00D25655" w:rsidP="00D25655">
      <w:pPr>
        <w:rPr>
          <w:color w:val="000000"/>
        </w:rPr>
      </w:pPr>
      <w:r w:rsidRPr="00D25655">
        <w:rPr>
          <w:color w:val="000000"/>
        </w:rPr>
        <w:t>The use of short</w:t>
      </w:r>
      <w:r w:rsidR="008715CB">
        <w:rPr>
          <w:color w:val="000000"/>
        </w:rPr>
        <w:t>-</w:t>
      </w:r>
      <w:r w:rsidRPr="00D25655">
        <w:rPr>
          <w:color w:val="000000"/>
        </w:rPr>
        <w:t xml:space="preserve">lived temporary cover crops help </w:t>
      </w:r>
      <w:proofErr w:type="gramStart"/>
      <w:r w:rsidRPr="00D25655">
        <w:rPr>
          <w:color w:val="000000"/>
        </w:rPr>
        <w:t>stabilize</w:t>
      </w:r>
      <w:proofErr w:type="gramEnd"/>
      <w:r w:rsidRPr="00D25655">
        <w:rPr>
          <w:color w:val="000000"/>
        </w:rPr>
        <w:t xml:space="preserve"> project sites and minimize the need for additional mulch in preparation of planting native seed mixes. They can also provide time to observe weed problems, and to allow for proper weed control before fall seeding. Temporary cover crops such as oats or winter wheat (the two species </w:t>
      </w:r>
      <w:proofErr w:type="gramStart"/>
      <w:r w:rsidRPr="00D25655">
        <w:rPr>
          <w:color w:val="000000"/>
        </w:rPr>
        <w:t>most commonly used</w:t>
      </w:r>
      <w:proofErr w:type="gramEnd"/>
      <w:r w:rsidRPr="00D25655">
        <w:rPr>
          <w:color w:val="000000"/>
        </w:rPr>
        <w:t xml:space="preserve">) should be mowed to 10-12 inches before seeds mature (or harvested upon maturity) to prevent re-seeding. Other cover crops typically used in agricultural fields, such as buckwheat, pennycress, and radishes, can help stabilize soil, build soil quality, or provide weed competition as part of restoration projects. </w:t>
      </w:r>
      <w:r w:rsidR="008715CB">
        <w:rPr>
          <w:color w:val="000000"/>
        </w:rPr>
        <w:t>Also s</w:t>
      </w:r>
      <w:r w:rsidRPr="00D25655">
        <w:rPr>
          <w:color w:val="000000"/>
        </w:rPr>
        <w:t>ee NRCS Agronomy Technical Note 31.</w:t>
      </w:r>
      <w:r w:rsidR="00124784" w:rsidRPr="00124784">
        <w:rPr>
          <w:color w:val="000000"/>
        </w:rPr>
        <w:t xml:space="preserve"> </w:t>
      </w:r>
      <w:r w:rsidR="00124784">
        <w:rPr>
          <w:color w:val="000000"/>
        </w:rPr>
        <w:t xml:space="preserve">If you are seeding into a temporary cover, it is recommended to use a native grass drill to maximize seed to soil contact. When using a broadcast </w:t>
      </w:r>
      <w:proofErr w:type="gramStart"/>
      <w:r w:rsidR="00124784">
        <w:rPr>
          <w:color w:val="000000"/>
        </w:rPr>
        <w:t>seeder</w:t>
      </w:r>
      <w:proofErr w:type="gramEnd"/>
      <w:r w:rsidR="00124784">
        <w:rPr>
          <w:color w:val="000000"/>
        </w:rPr>
        <w:t xml:space="preserve"> it is recommended to increase seeding rates to maximize the seed to soil contact.</w:t>
      </w:r>
    </w:p>
    <w:p w14:paraId="3EE49A95" w14:textId="77777777" w:rsidR="00124784" w:rsidRDefault="00124784" w:rsidP="00D25655">
      <w:pPr>
        <w:rPr>
          <w:color w:val="000000"/>
        </w:rPr>
      </w:pPr>
    </w:p>
    <w:p w14:paraId="614EF9BD" w14:textId="77777777" w:rsidR="00D81A3F" w:rsidRPr="00D81A3F" w:rsidRDefault="00D81A3F" w:rsidP="00DC6F8D">
      <w:pPr>
        <w:rPr>
          <w:b/>
          <w:bCs/>
        </w:rPr>
      </w:pPr>
      <w:r w:rsidRPr="00D81A3F">
        <w:rPr>
          <w:b/>
          <w:bCs/>
        </w:rPr>
        <w:t>Seeding Methods</w:t>
      </w:r>
    </w:p>
    <w:p w14:paraId="120336B5" w14:textId="060813A4" w:rsidR="00D81A3F" w:rsidRDefault="008715CB" w:rsidP="00DC6F8D">
      <w:r>
        <w:t xml:space="preserve">A </w:t>
      </w:r>
      <w:r w:rsidR="00D81A3F">
        <w:t>variety of seeding equipment is used for upland</w:t>
      </w:r>
      <w:r>
        <w:t xml:space="preserve"> prairie</w:t>
      </w:r>
      <w:r w:rsidR="00D81A3F">
        <w:t xml:space="preserve"> seeding including broadcast seeders, traditional native seed drills, no-till drills, Brillion seeders and Trillion seeders. Specialized </w:t>
      </w:r>
      <w:r w:rsidR="00A45FC8">
        <w:t xml:space="preserve">native seed drills </w:t>
      </w:r>
      <w:r>
        <w:t>can</w:t>
      </w:r>
      <w:r w:rsidR="00D81A3F">
        <w:t xml:space="preserve"> handle a wide variety of seed (fluffy, smooth, </w:t>
      </w:r>
      <w:proofErr w:type="gramStart"/>
      <w:r w:rsidR="00D81A3F">
        <w:t>large</w:t>
      </w:r>
      <w:proofErr w:type="gramEnd"/>
      <w:r w:rsidR="00D81A3F">
        <w:t xml:space="preserve"> and small) and low seeding rates. Since no-till drilling can plant directly into a light stubble layer, this method reduces erosion on the newly seeded site. Conventional grain drills are not capable of handling diverse seed sizes and are unlikely to provide satisfactory results. While no-till native seed drills can plant through light stubble, success is still likely to be greatest when most excess residue is removed.</w:t>
      </w:r>
      <w:r w:rsidR="005032D3">
        <w:t xml:space="preserve">  For broadcast seeding equipment should be used that is designed to spread mixes with different sized seeds (</w:t>
      </w:r>
      <w:r w:rsidR="00937762">
        <w:t>e.g.,</w:t>
      </w:r>
      <w:r w:rsidR="005032D3">
        <w:t xml:space="preserve"> Vicon Seeders).</w:t>
      </w:r>
    </w:p>
    <w:p w14:paraId="6C550F87" w14:textId="77777777" w:rsidR="00FA3A32" w:rsidRDefault="00FA3A32" w:rsidP="00DC6F8D"/>
    <w:p w14:paraId="205688E9" w14:textId="77777777" w:rsidR="00A45FC8" w:rsidRDefault="00A0508F" w:rsidP="00A45FC8">
      <w:pPr>
        <w:rPr>
          <w:b/>
          <w:bCs/>
        </w:rPr>
      </w:pPr>
      <w:r w:rsidRPr="00DF40A8">
        <w:rPr>
          <w:b/>
          <w:bCs/>
        </w:rPr>
        <w:t>Management Methods</w:t>
      </w:r>
      <w:r w:rsidR="00DF40A8">
        <w:rPr>
          <w:b/>
          <w:bCs/>
        </w:rPr>
        <w:t xml:space="preserve"> – </w:t>
      </w:r>
    </w:p>
    <w:p w14:paraId="33F222F0" w14:textId="77777777" w:rsidR="00E43433" w:rsidRPr="0071078C" w:rsidRDefault="00E43433" w:rsidP="00E43433">
      <w:pPr>
        <w:spacing w:before="120"/>
        <w:rPr>
          <w:rFonts w:asciiTheme="minorHAnsi" w:hAnsiTheme="minorHAnsi" w:cstheme="minorHAnsi"/>
          <w:i/>
          <w:iCs/>
          <w:color w:val="2F5496" w:themeColor="accent1" w:themeShade="BF"/>
          <w:sz w:val="23"/>
          <w:szCs w:val="23"/>
        </w:rPr>
      </w:pPr>
      <w:r w:rsidRPr="00204D1C">
        <w:rPr>
          <w:rFonts w:asciiTheme="minorHAnsi" w:hAnsiTheme="minorHAnsi" w:cstheme="minorHAnsi"/>
          <w:i/>
          <w:iCs/>
          <w:color w:val="2F5496" w:themeColor="accent1" w:themeShade="BF"/>
          <w:sz w:val="23"/>
          <w:szCs w:val="23"/>
        </w:rPr>
        <w:t>Integrated Pest Management</w:t>
      </w:r>
      <w:r w:rsidRPr="0071078C">
        <w:rPr>
          <w:rFonts w:asciiTheme="minorHAnsi" w:hAnsiTheme="minorHAnsi" w:cstheme="minorHAnsi"/>
          <w:i/>
          <w:iCs/>
          <w:sz w:val="23"/>
          <w:szCs w:val="23"/>
        </w:rPr>
        <w:t xml:space="preserve"> – </w:t>
      </w:r>
      <w:r>
        <w:rPr>
          <w:rFonts w:cstheme="minorHAnsi"/>
          <w:color w:val="212121"/>
          <w:shd w:val="clear" w:color="auto" w:fill="FFFFFF"/>
        </w:rPr>
        <w:t xml:space="preserve">Land managers and seed mix practitioners should utilize </w:t>
      </w:r>
      <w:hyperlink r:id="rId12" w:history="1">
        <w:r w:rsidRPr="00204D1C">
          <w:rPr>
            <w:rStyle w:val="Hyperlink"/>
            <w:rFonts w:cstheme="minorHAnsi"/>
            <w:color w:val="2F5496" w:themeColor="accent1" w:themeShade="BF"/>
            <w:shd w:val="clear" w:color="auto" w:fill="FFFFFF"/>
          </w:rPr>
          <w:t>Integrated Pest Management</w:t>
        </w:r>
      </w:hyperlink>
      <w:r>
        <w:rPr>
          <w:rFonts w:cstheme="minorHAnsi"/>
          <w:color w:val="212121"/>
          <w:shd w:val="clear" w:color="auto" w:fill="FFFFFF"/>
        </w:rPr>
        <w:t xml:space="preserve"> in their efforts to establish and manage plantings.  </w:t>
      </w:r>
      <w:r w:rsidRPr="00866236">
        <w:rPr>
          <w:rFonts w:cstheme="minorHAnsi"/>
        </w:rPr>
        <w:t>Integrated Pest Management</w:t>
      </w:r>
      <w:r w:rsidRPr="00AD3392">
        <w:rPr>
          <w:rFonts w:asciiTheme="minorHAnsi" w:hAnsiTheme="minorHAnsi" w:cstheme="minorHAnsi"/>
        </w:rPr>
        <w:t xml:space="preserve">, or IPM, </w:t>
      </w:r>
      <w:r w:rsidRPr="00AD3392">
        <w:rPr>
          <w:rFonts w:asciiTheme="minorHAnsi" w:hAnsiTheme="minorHAnsi" w:cstheme="minorHAnsi"/>
          <w:color w:val="212121"/>
          <w:shd w:val="clear" w:color="auto" w:fill="FFFFFF"/>
        </w:rPr>
        <w:t xml:space="preserve">is an environmentally sensitive approach to pest management that relies on </w:t>
      </w:r>
      <w:r>
        <w:rPr>
          <w:rFonts w:asciiTheme="minorHAnsi" w:hAnsiTheme="minorHAnsi" w:cstheme="minorHAnsi"/>
          <w:color w:val="212121"/>
          <w:shd w:val="clear" w:color="auto" w:fill="FFFFFF"/>
        </w:rPr>
        <w:t xml:space="preserve">the use of a </w:t>
      </w:r>
      <w:r w:rsidRPr="00AD3392">
        <w:rPr>
          <w:rFonts w:asciiTheme="minorHAnsi" w:hAnsiTheme="minorHAnsi" w:cstheme="minorHAnsi"/>
          <w:color w:val="212121"/>
          <w:shd w:val="clear" w:color="auto" w:fill="FFFFFF"/>
        </w:rPr>
        <w:t>combination of practices</w:t>
      </w:r>
      <w:r>
        <w:rPr>
          <w:rFonts w:asciiTheme="minorHAnsi" w:hAnsiTheme="minorHAnsi" w:cstheme="minorHAnsi"/>
          <w:color w:val="212121"/>
          <w:shd w:val="clear" w:color="auto" w:fill="FFFFFF"/>
        </w:rPr>
        <w:t xml:space="preserve"> (conservation grazing, haying, prescribed burning, etc.)</w:t>
      </w:r>
      <w:r>
        <w:rPr>
          <w:rFonts w:cstheme="minorHAnsi"/>
          <w:color w:val="212121"/>
          <w:shd w:val="clear" w:color="auto" w:fill="FFFFFF"/>
        </w:rPr>
        <w:t xml:space="preserve"> to successfully establish and manage native vegetation while minimizing the use of chemicals and accomplishing goals such as the protection and restoration of pollinators and other beneficial insects. Ultimately, using a variety of practices is the most effective, sustainable, and culturally appropriate way to achieve project goals.   </w:t>
      </w:r>
    </w:p>
    <w:p w14:paraId="5F1CD1F8" w14:textId="77777777" w:rsidR="00256F03" w:rsidRDefault="00256F03" w:rsidP="00A45FC8">
      <w:pPr>
        <w:rPr>
          <w:rFonts w:asciiTheme="minorHAnsi" w:hAnsiTheme="minorHAnsi" w:cstheme="minorHAnsi"/>
          <w:i/>
          <w:iCs/>
          <w:color w:val="0070C0"/>
          <w:sz w:val="23"/>
          <w:szCs w:val="23"/>
        </w:rPr>
      </w:pPr>
    </w:p>
    <w:p w14:paraId="32CF0D3D" w14:textId="03228A35" w:rsidR="00A45FC8" w:rsidRDefault="00A45FC8" w:rsidP="00A45FC8">
      <w:pPr>
        <w:rPr>
          <w:rFonts w:asciiTheme="minorHAnsi" w:hAnsiTheme="minorHAnsi" w:cstheme="minorHAnsi"/>
          <w:i/>
          <w:iCs/>
          <w:color w:val="0070C0"/>
          <w:sz w:val="23"/>
          <w:szCs w:val="23"/>
        </w:rPr>
      </w:pPr>
      <w:r>
        <w:rPr>
          <w:rFonts w:asciiTheme="minorHAnsi" w:hAnsiTheme="minorHAnsi" w:cstheme="minorHAnsi"/>
          <w:i/>
          <w:iCs/>
          <w:color w:val="0070C0"/>
          <w:sz w:val="23"/>
          <w:szCs w:val="23"/>
        </w:rPr>
        <w:t xml:space="preserve">Establishment Mowing </w:t>
      </w:r>
    </w:p>
    <w:p w14:paraId="2A2789D4" w14:textId="29004F0D" w:rsidR="00D25655" w:rsidRDefault="00D25655" w:rsidP="00A45FC8">
      <w:r>
        <w:t xml:space="preserve">Mowing can be an important step in the establishment of upland prairie restoration sites. Mowing at least twice the first season </w:t>
      </w:r>
      <w:r w:rsidR="00A45FC8">
        <w:t>and once</w:t>
      </w:r>
      <w:r>
        <w:t xml:space="preserve"> the second season with a flail mower or stalk chopper (to prevent smothering plants) is often needed to decrease competition and to provide sufficient sunlight for seedlings. </w:t>
      </w:r>
      <w:r w:rsidR="00E96F42">
        <w:t xml:space="preserve">Haying is another </w:t>
      </w:r>
      <w:r w:rsidR="00924A29">
        <w:t>method</w:t>
      </w:r>
      <w:r w:rsidR="00E96F42">
        <w:t xml:space="preserve"> to remove mowed vegetation that prevents smothering of the new </w:t>
      </w:r>
      <w:r w:rsidR="00E96F42">
        <w:lastRenderedPageBreak/>
        <w:t xml:space="preserve">seeding. </w:t>
      </w:r>
      <w:r w:rsidR="00620B04">
        <w:t>Problematic w</w:t>
      </w:r>
      <w:r>
        <w:t xml:space="preserve">eeds should be mowed to between five and eight inches before seed is allowed to set (usually as weeds reach 12-14 inches). Mowing height should be raised as native plants establish. </w:t>
      </w:r>
      <w:r w:rsidR="008E4590">
        <w:t>Periodic mowing involves mowing the entire planting throughout the first growing season to help prevent a weed canopy from forming and to allow slower germinating plants a chance to grow and be productive. Ideally, periodic mowing is meant to keep the vegetation at around knee</w:t>
      </w:r>
      <w:r w:rsidR="00945D36">
        <w:t xml:space="preserve"> </w:t>
      </w:r>
      <w:r w:rsidR="008E4590">
        <w:t xml:space="preserve">height. Mowing should take place once a month or after vegetation reaches 18” in height. Mowing should be done at a raised height between 4-6 inches. Care should be taken to avoid mowing the planting too frequently or too aggressively, such as weekly or shorter than the recommended height as this can damage the native vegetation and cause the planting to </w:t>
      </w:r>
      <w:r w:rsidR="00F84E25">
        <w:t>fail. The</w:t>
      </w:r>
      <w:r>
        <w:t xml:space="preserve"> timing and frequency of mowing should be planned to allow sufficient light to reach native plant seedlings and preventing weed seed production. Sites with low weed competition due to sandy soils or other factors may not need mowing. </w:t>
      </w:r>
    </w:p>
    <w:p w14:paraId="5441C243" w14:textId="79C66179" w:rsidR="006932A6" w:rsidRDefault="006932A6" w:rsidP="00A45FC8"/>
    <w:p w14:paraId="199C1D79" w14:textId="77777777" w:rsidR="00F84E25" w:rsidRDefault="00937762" w:rsidP="00F84E25">
      <w:pPr>
        <w:pStyle w:val="Default"/>
        <w:rPr>
          <w:rFonts w:asciiTheme="minorHAnsi" w:hAnsiTheme="minorHAnsi" w:cstheme="minorHAnsi"/>
          <w:color w:val="0070C0"/>
          <w:sz w:val="23"/>
          <w:szCs w:val="23"/>
        </w:rPr>
      </w:pPr>
      <w:r>
        <w:rPr>
          <w:rFonts w:asciiTheme="minorHAnsi" w:hAnsiTheme="minorHAnsi" w:cstheme="minorHAnsi"/>
          <w:i/>
          <w:iCs/>
          <w:color w:val="0070C0"/>
          <w:sz w:val="23"/>
          <w:szCs w:val="23"/>
        </w:rPr>
        <w:t>Spot Mowing</w:t>
      </w:r>
    </w:p>
    <w:p w14:paraId="081D8C46" w14:textId="4F5C0E44" w:rsidR="006932A6" w:rsidRPr="00F84E25" w:rsidRDefault="006932A6" w:rsidP="00F84E25">
      <w:pPr>
        <w:pStyle w:val="Default"/>
        <w:rPr>
          <w:rFonts w:asciiTheme="minorHAnsi" w:hAnsiTheme="minorHAnsi" w:cstheme="minorHAnsi"/>
          <w:color w:val="0070C0"/>
          <w:sz w:val="23"/>
          <w:szCs w:val="23"/>
        </w:rPr>
      </w:pPr>
      <w:r w:rsidRPr="00937762">
        <w:rPr>
          <w:sz w:val="22"/>
          <w:szCs w:val="22"/>
        </w:rPr>
        <w:t xml:space="preserve">After vegetation has established it may be beneficial to spot mow areas with invasive or noxious plants. Spot-mowing can slow some of the aggressive and fast-growing invasive plants while allowing the native species to become established. Spot-mowing should be done at a raised height between 4-6 inches </w:t>
      </w:r>
      <w:proofErr w:type="gramStart"/>
      <w:r w:rsidRPr="00937762">
        <w:rPr>
          <w:sz w:val="22"/>
          <w:szCs w:val="22"/>
        </w:rPr>
        <w:t>in order to</w:t>
      </w:r>
      <w:proofErr w:type="gramEnd"/>
      <w:r w:rsidRPr="00937762">
        <w:rPr>
          <w:sz w:val="22"/>
          <w:szCs w:val="22"/>
        </w:rPr>
        <w:t xml:space="preserve"> target the invasive plants and to not damage the native species. Spot-mowing for control of invasive or noxious weeds can be done every year to ensure planting health, even during 10 establishment years. Care should be taken to avoid mowing the planting too frequently or too aggressively, such as weekly or shorter than the recommended height as this can damage the native vegetation and cause the planting to fail. A list of noxious/invasive weed species that should be eradicated can be viewed at the Minnesota Department of Agriculture’s website</w:t>
      </w:r>
    </w:p>
    <w:p w14:paraId="4A9656B1" w14:textId="77777777" w:rsidR="006932A6" w:rsidRDefault="006932A6" w:rsidP="00A45FC8"/>
    <w:p w14:paraId="17DEB310" w14:textId="77777777" w:rsidR="00D25655" w:rsidRPr="00D81A3F" w:rsidRDefault="00A45FC8" w:rsidP="00D25655">
      <w:pPr>
        <w:pStyle w:val="Default"/>
        <w:rPr>
          <w:rFonts w:asciiTheme="minorHAnsi" w:hAnsiTheme="minorHAnsi" w:cstheme="minorHAnsi"/>
          <w:color w:val="0070C0"/>
          <w:sz w:val="23"/>
          <w:szCs w:val="23"/>
        </w:rPr>
      </w:pPr>
      <w:bookmarkStart w:id="4" w:name="_Hlk60209216"/>
      <w:r>
        <w:rPr>
          <w:rFonts w:asciiTheme="minorHAnsi" w:hAnsiTheme="minorHAnsi" w:cstheme="minorHAnsi"/>
          <w:i/>
          <w:iCs/>
          <w:color w:val="0070C0"/>
          <w:sz w:val="23"/>
          <w:szCs w:val="23"/>
        </w:rPr>
        <w:t xml:space="preserve">Prescribed </w:t>
      </w:r>
      <w:r w:rsidR="00D25655" w:rsidRPr="00D81A3F">
        <w:rPr>
          <w:rFonts w:asciiTheme="minorHAnsi" w:hAnsiTheme="minorHAnsi" w:cstheme="minorHAnsi"/>
          <w:i/>
          <w:iCs/>
          <w:color w:val="0070C0"/>
          <w:sz w:val="23"/>
          <w:szCs w:val="23"/>
        </w:rPr>
        <w:t>Burning</w:t>
      </w:r>
      <w:bookmarkEnd w:id="4"/>
      <w:r w:rsidR="00D25655" w:rsidRPr="00D81A3F">
        <w:rPr>
          <w:rFonts w:asciiTheme="minorHAnsi" w:hAnsiTheme="minorHAnsi" w:cstheme="minorHAnsi"/>
          <w:i/>
          <w:iCs/>
          <w:color w:val="0070C0"/>
          <w:sz w:val="23"/>
          <w:szCs w:val="23"/>
        </w:rPr>
        <w:t xml:space="preserve"> </w:t>
      </w:r>
    </w:p>
    <w:p w14:paraId="558837D1" w14:textId="24C70BF7" w:rsidR="00D25655" w:rsidRDefault="00D25655" w:rsidP="00D25655">
      <w:pPr>
        <w:pStyle w:val="Default"/>
        <w:rPr>
          <w:sz w:val="22"/>
          <w:szCs w:val="22"/>
        </w:rPr>
      </w:pPr>
      <w:r w:rsidRPr="00A45FC8">
        <w:rPr>
          <w:sz w:val="22"/>
          <w:szCs w:val="22"/>
        </w:rPr>
        <w:t xml:space="preserve">Prescribed burning is beneficial to remove thatch, control invading woody and invasive plants in prairies, </w:t>
      </w:r>
      <w:r>
        <w:rPr>
          <w:sz w:val="22"/>
          <w:szCs w:val="22"/>
        </w:rPr>
        <w:t xml:space="preserve">fertilize the soil with ashes, stimulate seed germination and new plant growth, and increase diversity in plantings. Burning is typically initiated after the third or fourth years of establishment, after native vegetation is reaching maturity. Uplands benefit from burning every three to five years. </w:t>
      </w:r>
      <w:r w:rsidR="00E96F42">
        <w:rPr>
          <w:sz w:val="22"/>
          <w:szCs w:val="22"/>
        </w:rPr>
        <w:t xml:space="preserve">The timing of a burn can </w:t>
      </w:r>
      <w:proofErr w:type="gramStart"/>
      <w:r w:rsidR="00E96F42">
        <w:rPr>
          <w:sz w:val="22"/>
          <w:szCs w:val="22"/>
        </w:rPr>
        <w:t>help</w:t>
      </w:r>
      <w:proofErr w:type="gramEnd"/>
      <w:r w:rsidR="00E96F42">
        <w:rPr>
          <w:sz w:val="22"/>
          <w:szCs w:val="22"/>
        </w:rPr>
        <w:t xml:space="preserve"> with management goals. Late spring burns are used to combat cool-season non-native species such as brome and reed canary grass. Burning a portion of the property each spring instead of an “all at once” burn</w:t>
      </w:r>
      <w:r w:rsidR="00B90A37">
        <w:rPr>
          <w:sz w:val="22"/>
          <w:szCs w:val="22"/>
        </w:rPr>
        <w:t xml:space="preserve"> will leave undisturbed nesting cover for ground nesting birds. </w:t>
      </w:r>
      <w:r>
        <w:rPr>
          <w:sz w:val="22"/>
          <w:szCs w:val="22"/>
        </w:rPr>
        <w:t xml:space="preserve">Fall and spring burns should be alternated periodically to simulate natural variation. Burn plans are needed to define the details of how the burn will be conducted, who will be involved and for contingency planning. In many cases, permits are also required. It is recommended to only burn one-half or less of a project site at a time if they are large (over 50 acres), or don’t have any adjacent refuge such as other conservation lands adjacent to the site for wildlife species. Partial burns and burns that are patchy may also benefit pollinator populations if timed correctly (when pollinators are not actively </w:t>
      </w:r>
      <w:r w:rsidR="00F84E25">
        <w:rPr>
          <w:sz w:val="22"/>
          <w:szCs w:val="22"/>
        </w:rPr>
        <w:t>foraging,</w:t>
      </w:r>
      <w:r>
        <w:rPr>
          <w:sz w:val="22"/>
          <w:szCs w:val="22"/>
        </w:rPr>
        <w:t xml:space="preserve"> or pollinators have pupated and are mobile). </w:t>
      </w:r>
    </w:p>
    <w:p w14:paraId="048645DF" w14:textId="77777777" w:rsidR="002B3680" w:rsidRDefault="002B3680" w:rsidP="00D25655">
      <w:pPr>
        <w:pStyle w:val="Default"/>
        <w:rPr>
          <w:sz w:val="22"/>
          <w:szCs w:val="22"/>
        </w:rPr>
      </w:pPr>
    </w:p>
    <w:p w14:paraId="65D21FF2" w14:textId="77777777" w:rsidR="00D25655" w:rsidRPr="00D81A3F" w:rsidRDefault="00D25655" w:rsidP="00D25655">
      <w:pPr>
        <w:pStyle w:val="Default"/>
        <w:rPr>
          <w:rFonts w:asciiTheme="minorHAnsi" w:hAnsiTheme="minorHAnsi" w:cstheme="minorHAnsi"/>
          <w:color w:val="0070C0"/>
          <w:sz w:val="23"/>
          <w:szCs w:val="23"/>
        </w:rPr>
      </w:pPr>
      <w:r w:rsidRPr="00D81A3F">
        <w:rPr>
          <w:rFonts w:asciiTheme="minorHAnsi" w:hAnsiTheme="minorHAnsi" w:cstheme="minorHAnsi"/>
          <w:i/>
          <w:iCs/>
          <w:color w:val="0070C0"/>
          <w:sz w:val="23"/>
          <w:szCs w:val="23"/>
        </w:rPr>
        <w:t xml:space="preserve">Spot Treatment of Weeds </w:t>
      </w:r>
    </w:p>
    <w:p w14:paraId="3157B6C4" w14:textId="6725BD7D" w:rsidR="005D719A" w:rsidRPr="0071078C" w:rsidRDefault="7BD85430" w:rsidP="264826FE">
      <w:pPr>
        <w:pStyle w:val="Default"/>
        <w:spacing w:before="120"/>
        <w:rPr>
          <w:rFonts w:eastAsia="Calibri"/>
          <w:color w:val="000000" w:themeColor="text1"/>
        </w:rPr>
      </w:pPr>
      <w:r>
        <w:rPr>
          <w:sz w:val="22"/>
          <w:szCs w:val="22"/>
        </w:rPr>
        <w:t xml:space="preserve">Problematic perennial weeds that cannot be managed effectively with other methods may require spot treatment with herbicide for sufficient control. Examples include reed canary grass, smooth brome, quack grass, purple loosestrife, Canada thistle, Kentucky bluegrass, crown vetch, and birds-foot trefoil. In some cases, herbicide treatment is not conducted during the first or second year of establishment to avoid impact to </w:t>
      </w:r>
      <w:r w:rsidR="00F84E25">
        <w:rPr>
          <w:sz w:val="22"/>
          <w:szCs w:val="22"/>
        </w:rPr>
        <w:t>seedlings,</w:t>
      </w:r>
      <w:r>
        <w:rPr>
          <w:sz w:val="22"/>
          <w:szCs w:val="22"/>
        </w:rPr>
        <w:t xml:space="preserve"> but it may be important to control some weeds before they have a chance to spread. A common practice for Canada thistle control involves clipping seedheads while they are in the bud stage (usually early June) and conducting herbicide application with a broad-leaf specific herbicide </w:t>
      </w:r>
      <w:r>
        <w:rPr>
          <w:sz w:val="22"/>
          <w:szCs w:val="22"/>
        </w:rPr>
        <w:lastRenderedPageBreak/>
        <w:t xml:space="preserve">in the fall (mid to late October). This timing limits the application of herbicide while pollinators are active. </w:t>
      </w:r>
      <w:r w:rsidR="6F2EE300" w:rsidRPr="00600BFB">
        <w:rPr>
          <w:sz w:val="22"/>
          <w:szCs w:val="22"/>
        </w:rPr>
        <w:t xml:space="preserve">If herbicides will be used it is important that </w:t>
      </w:r>
      <w:r w:rsidR="6F2EE300" w:rsidRPr="264826FE">
        <w:rPr>
          <w:rFonts w:cstheme="minorBidi"/>
          <w:color w:val="212121"/>
          <w:sz w:val="22"/>
          <w:szCs w:val="22"/>
          <w:shd w:val="clear" w:color="auto" w:fill="FFFFFF"/>
        </w:rPr>
        <w:t>monitoring indicates that they are needed, and treatments are made with the goal of removing only the target plant or plants.  Herbicides should be selected and applied in a manner that minimizes risks to human health, beneficial and nontarget organisms, and the environment. For example, they should only be used w</w:t>
      </w:r>
      <w:r w:rsidR="6F2EE300" w:rsidRPr="00600BFB">
        <w:rPr>
          <w:sz w:val="22"/>
          <w:szCs w:val="22"/>
        </w:rPr>
        <w:t>hen pollinators and other insects are not active</w:t>
      </w:r>
      <w:r w:rsidR="6F2EE300">
        <w:rPr>
          <w:sz w:val="22"/>
          <w:szCs w:val="22"/>
        </w:rPr>
        <w:t xml:space="preserve"> (A common approach is to mow or grazing invasive weeds in the summer followed by herbicide application in the fall)</w:t>
      </w:r>
      <w:r w:rsidR="6F2EE300" w:rsidRPr="00600BFB">
        <w:rPr>
          <w:sz w:val="22"/>
          <w:szCs w:val="22"/>
        </w:rPr>
        <w:t xml:space="preserve">. </w:t>
      </w:r>
      <w:r w:rsidR="7E024C7D" w:rsidRPr="264826FE">
        <w:rPr>
          <w:color w:val="000000" w:themeColor="text1"/>
          <w:sz w:val="22"/>
          <w:szCs w:val="22"/>
        </w:rPr>
        <w:t>Minimize herbicide first year/spot spray year 2. Unless significant problem weeds show up.</w:t>
      </w:r>
    </w:p>
    <w:p w14:paraId="49206AA5" w14:textId="0D0B3B52" w:rsidR="00D25655" w:rsidRDefault="00D25655" w:rsidP="00D25655">
      <w:pPr>
        <w:pStyle w:val="Default"/>
        <w:rPr>
          <w:sz w:val="22"/>
          <w:szCs w:val="22"/>
        </w:rPr>
      </w:pPr>
    </w:p>
    <w:p w14:paraId="7BA80CB6" w14:textId="77777777" w:rsidR="00A0508F" w:rsidRDefault="00473934" w:rsidP="00A0508F">
      <w:r w:rsidRPr="006E405A">
        <w:rPr>
          <w:b/>
          <w:bCs/>
        </w:rPr>
        <w:t>W</w:t>
      </w:r>
      <w:r w:rsidR="00A0508F" w:rsidRPr="006E405A">
        <w:rPr>
          <w:b/>
          <w:bCs/>
        </w:rPr>
        <w:t>hat to Expect in Year 1</w:t>
      </w:r>
      <w:r w:rsidRPr="006E405A">
        <w:rPr>
          <w:b/>
          <w:bCs/>
        </w:rPr>
        <w:t>:</w:t>
      </w:r>
      <w:r>
        <w:t xml:space="preserve"> During year one of growth many native grasses and flowers will remain about one to three inches tall. The mowing will play an important role to keep weeds managed</w:t>
      </w:r>
      <w:r w:rsidR="00B90A37">
        <w:t xml:space="preserve"> </w:t>
      </w:r>
      <w:r>
        <w:t xml:space="preserve">so the native plant seedlings receive sufficient water and sunlight. The planting may have a </w:t>
      </w:r>
      <w:r w:rsidR="00DB7484">
        <w:t>somewhat</w:t>
      </w:r>
      <w:r>
        <w:t xml:space="preserve"> weedy appearance this first year</w:t>
      </w:r>
      <w:r w:rsidR="00B90A37">
        <w:t xml:space="preserve"> (see establishment mowing paragraph above)</w:t>
      </w:r>
      <w:r>
        <w:t xml:space="preserve">. </w:t>
      </w:r>
    </w:p>
    <w:p w14:paraId="78FC9AF9" w14:textId="77777777" w:rsidR="00DC6F8D" w:rsidRDefault="00DC6F8D" w:rsidP="00A0508F">
      <w:r>
        <w:t>(IMAGE)</w:t>
      </w:r>
    </w:p>
    <w:p w14:paraId="0DD24237" w14:textId="77777777" w:rsidR="00A0508F" w:rsidRDefault="00A0508F" w:rsidP="00A0508F">
      <w:r w:rsidRPr="006E405A">
        <w:rPr>
          <w:b/>
          <w:bCs/>
        </w:rPr>
        <w:t>What to Expect in Year 2</w:t>
      </w:r>
      <w:r w:rsidR="00473934" w:rsidRPr="006E405A">
        <w:rPr>
          <w:b/>
          <w:bCs/>
        </w:rPr>
        <w:t>:</w:t>
      </w:r>
      <w:r w:rsidR="00473934">
        <w:t xml:space="preserve"> During year two the native grasses and flowers may reach their mature height and some of them may flower. </w:t>
      </w:r>
      <w:r w:rsidR="006E405A">
        <w:t xml:space="preserve">Mowing </w:t>
      </w:r>
      <w:r w:rsidR="00B90A37">
        <w:t xml:space="preserve">may </w:t>
      </w:r>
      <w:r w:rsidR="006E405A">
        <w:t xml:space="preserve">still play a key role in managing weeds and allowing seedlings to grow. </w:t>
      </w:r>
    </w:p>
    <w:p w14:paraId="5642DFEB" w14:textId="77777777" w:rsidR="00473934" w:rsidRDefault="00473934" w:rsidP="00A0508F">
      <w:r>
        <w:t>(IMAGE)</w:t>
      </w:r>
    </w:p>
    <w:p w14:paraId="5E950D17" w14:textId="77777777" w:rsidR="00A0508F" w:rsidRDefault="00A0508F" w:rsidP="00A0508F">
      <w:r w:rsidRPr="006E405A">
        <w:rPr>
          <w:b/>
          <w:bCs/>
        </w:rPr>
        <w:t>What to Expect in Year 3 and Beyond</w:t>
      </w:r>
      <w:r w:rsidR="006E405A" w:rsidRPr="006E405A">
        <w:rPr>
          <w:b/>
          <w:bCs/>
        </w:rPr>
        <w:t>:</w:t>
      </w:r>
      <w:r w:rsidR="006E405A">
        <w:t xml:space="preserve"> By the end of year three most of the native plants will be nearing maturity and should flower. There may be some species that are slow to establish and may not show up for several years. </w:t>
      </w:r>
    </w:p>
    <w:p w14:paraId="038CDB45" w14:textId="77777777" w:rsidR="00F84E25" w:rsidRDefault="00F84E25" w:rsidP="00A0508F">
      <w:pPr>
        <w:rPr>
          <w:b/>
          <w:bCs/>
        </w:rPr>
      </w:pPr>
    </w:p>
    <w:p w14:paraId="17241994" w14:textId="2DE349A4" w:rsidR="006E405A" w:rsidRDefault="00A0508F" w:rsidP="00A0508F">
      <w:pPr>
        <w:rPr>
          <w:b/>
          <w:bCs/>
        </w:rPr>
      </w:pPr>
      <w:r w:rsidRPr="006E405A">
        <w:rPr>
          <w:b/>
          <w:bCs/>
        </w:rPr>
        <w:t>Problem Solving</w:t>
      </w:r>
    </w:p>
    <w:p w14:paraId="5EF5FDA8" w14:textId="77777777" w:rsidR="006E405A"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1</w:t>
      </w:r>
      <w:r w:rsidR="006E405A">
        <w:t xml:space="preserve"> – It is often difficult to determine if a seeding is successful during the first year as establishment may vary depending on weather conditions and some species may be slow to establish. It is typically best to wait un</w:t>
      </w:r>
      <w:r w:rsidR="00A323D8">
        <w:t>til</w:t>
      </w:r>
      <w:r w:rsidR="006E405A">
        <w:t xml:space="preserve"> the second year to conduct any corrective actions. </w:t>
      </w:r>
      <w:r w:rsidR="00B90A37">
        <w:t>Looks for species such as Black-Eyed Susan flowering in year 1 for confirmation the seeding was a success.</w:t>
      </w:r>
    </w:p>
    <w:p w14:paraId="1E110D65" w14:textId="77777777" w:rsidR="00A0508F" w:rsidRDefault="00A0508F" w:rsidP="00A0508F">
      <w:r w:rsidRPr="006E405A">
        <w:rPr>
          <w:rStyle w:val="IntenseEmphasis"/>
        </w:rPr>
        <w:t xml:space="preserve">Poor </w:t>
      </w:r>
      <w:r w:rsidR="00A323D8">
        <w:rPr>
          <w:rStyle w:val="IntenseEmphasis"/>
        </w:rPr>
        <w:t>E</w:t>
      </w:r>
      <w:r w:rsidRPr="006E405A">
        <w:rPr>
          <w:rStyle w:val="IntenseEmphasis"/>
        </w:rPr>
        <w:t xml:space="preserve">stablishment </w:t>
      </w:r>
      <w:r w:rsidR="00A323D8">
        <w:rPr>
          <w:rStyle w:val="IntenseEmphasis"/>
        </w:rPr>
        <w:t>A</w:t>
      </w:r>
      <w:r w:rsidRPr="006E405A">
        <w:rPr>
          <w:rStyle w:val="IntenseEmphasis"/>
        </w:rPr>
        <w:t xml:space="preserve">fter </w:t>
      </w:r>
      <w:r w:rsidR="00A323D8">
        <w:rPr>
          <w:rStyle w:val="IntenseEmphasis"/>
        </w:rPr>
        <w:t>Y</w:t>
      </w:r>
      <w:r w:rsidRPr="006E405A">
        <w:rPr>
          <w:rStyle w:val="IntenseEmphasis"/>
        </w:rPr>
        <w:t>ear 2</w:t>
      </w:r>
      <w:r w:rsidR="006E405A">
        <w:t xml:space="preserve"> </w:t>
      </w:r>
      <w:r w:rsidR="00F86A41">
        <w:t>–</w:t>
      </w:r>
      <w:r w:rsidR="006E405A">
        <w:t xml:space="preserve"> </w:t>
      </w:r>
      <w:r w:rsidR="00F86A41">
        <w:t xml:space="preserve">If native plant seedlings are not establishing about every </w:t>
      </w:r>
      <w:r w:rsidR="00DB7484">
        <w:t xml:space="preserve">one to </w:t>
      </w:r>
      <w:r w:rsidR="00F86A41">
        <w:t>two feet it may be necessary to inter</w:t>
      </w:r>
      <w:r w:rsidR="00282D99">
        <w:t>-</w:t>
      </w:r>
      <w:r w:rsidR="00F86A41">
        <w:t>seed some species into the planting. If this is a concern it is recommended to inspect the site</w:t>
      </w:r>
      <w:r w:rsidR="003049F9">
        <w:t xml:space="preserve"> during the growing season to</w:t>
      </w:r>
      <w:r w:rsidR="00F86A41">
        <w:t xml:space="preserve"> recommend what species could be supplemented. </w:t>
      </w:r>
    </w:p>
    <w:p w14:paraId="0F3B9CBC" w14:textId="5C65C109" w:rsidR="00A0508F" w:rsidRDefault="00A0508F" w:rsidP="00A0508F">
      <w:r w:rsidRPr="006E405A">
        <w:rPr>
          <w:rStyle w:val="IntenseQuoteChar"/>
        </w:rPr>
        <w:t xml:space="preserve">High </w:t>
      </w:r>
      <w:r w:rsidR="00A323D8">
        <w:rPr>
          <w:rStyle w:val="IntenseQuoteChar"/>
        </w:rPr>
        <w:t>A</w:t>
      </w:r>
      <w:r w:rsidRPr="006E405A">
        <w:rPr>
          <w:rStyle w:val="IntenseQuoteChar"/>
        </w:rPr>
        <w:t xml:space="preserve">nnual and </w:t>
      </w:r>
      <w:r w:rsidR="00A323D8">
        <w:rPr>
          <w:rStyle w:val="IntenseQuoteChar"/>
        </w:rPr>
        <w:t>B</w:t>
      </w:r>
      <w:r w:rsidRPr="006E405A">
        <w:rPr>
          <w:rStyle w:val="IntenseQuoteChar"/>
        </w:rPr>
        <w:t xml:space="preserve">iennial </w:t>
      </w:r>
      <w:r w:rsidR="00A323D8">
        <w:rPr>
          <w:rStyle w:val="IntenseQuoteChar"/>
        </w:rPr>
        <w:t>W</w:t>
      </w:r>
      <w:r w:rsidRPr="006E405A">
        <w:rPr>
          <w:rStyle w:val="IntenseQuoteChar"/>
        </w:rPr>
        <w:t xml:space="preserve">eed </w:t>
      </w:r>
      <w:r w:rsidR="00A323D8">
        <w:rPr>
          <w:rStyle w:val="IntenseQuoteChar"/>
        </w:rPr>
        <w:t>C</w:t>
      </w:r>
      <w:r w:rsidRPr="006E405A">
        <w:rPr>
          <w:rStyle w:val="IntenseQuoteChar"/>
        </w:rPr>
        <w:t>ompetition</w:t>
      </w:r>
      <w:r w:rsidR="006E405A">
        <w:t xml:space="preserve"> </w:t>
      </w:r>
      <w:r w:rsidR="00F86A41">
        <w:t>–</w:t>
      </w:r>
      <w:r w:rsidR="006E405A">
        <w:t xml:space="preserve"> </w:t>
      </w:r>
      <w:r w:rsidR="00F86A41">
        <w:t xml:space="preserve">Typically, </w:t>
      </w:r>
      <w:proofErr w:type="gramStart"/>
      <w:r w:rsidR="00F86A41">
        <w:t>annual</w:t>
      </w:r>
      <w:proofErr w:type="gramEnd"/>
      <w:r w:rsidR="00F86A41">
        <w:t xml:space="preserve"> and biennial weed competition is not a big problem in </w:t>
      </w:r>
      <w:r w:rsidR="00DB7484">
        <w:t xml:space="preserve">prairie </w:t>
      </w:r>
      <w:r w:rsidR="00F86A41">
        <w:t xml:space="preserve">plantings as they are short lived and as long as mowing is conducted </w:t>
      </w:r>
      <w:r w:rsidR="00A323D8">
        <w:t xml:space="preserve">before seed is </w:t>
      </w:r>
      <w:r w:rsidR="00F84E25">
        <w:t>set,</w:t>
      </w:r>
      <w:r w:rsidR="00A323D8">
        <w:t xml:space="preserve"> </w:t>
      </w:r>
      <w:r w:rsidR="00F86A41">
        <w:t xml:space="preserve">they should not add additional seed into the planting. </w:t>
      </w:r>
    </w:p>
    <w:p w14:paraId="7CF87EE2" w14:textId="77777777" w:rsidR="00A0508F" w:rsidRDefault="00A0508F" w:rsidP="00A0508F">
      <w:r w:rsidRPr="006E405A">
        <w:rPr>
          <w:rStyle w:val="IntenseEmphasis"/>
        </w:rPr>
        <w:t xml:space="preserve">High </w:t>
      </w:r>
      <w:r w:rsidR="00A323D8">
        <w:rPr>
          <w:rStyle w:val="IntenseEmphasis"/>
        </w:rPr>
        <w:t>P</w:t>
      </w:r>
      <w:r w:rsidRPr="006E405A">
        <w:rPr>
          <w:rStyle w:val="IntenseEmphasis"/>
        </w:rPr>
        <w:t xml:space="preserve">erennial </w:t>
      </w:r>
      <w:r w:rsidR="00A323D8">
        <w:rPr>
          <w:rStyle w:val="IntenseEmphasis"/>
        </w:rPr>
        <w:t>W</w:t>
      </w:r>
      <w:r w:rsidRPr="006E405A">
        <w:rPr>
          <w:rStyle w:val="IntenseEmphasis"/>
        </w:rPr>
        <w:t xml:space="preserve">eed </w:t>
      </w:r>
      <w:r w:rsidR="00A323D8">
        <w:rPr>
          <w:rStyle w:val="IntenseEmphasis"/>
        </w:rPr>
        <w:t>C</w:t>
      </w:r>
      <w:r w:rsidRPr="006E405A">
        <w:rPr>
          <w:rStyle w:val="IntenseEmphasis"/>
        </w:rPr>
        <w:t>ompetition</w:t>
      </w:r>
      <w:r>
        <w:t xml:space="preserve"> </w:t>
      </w:r>
      <w:r w:rsidR="00F86A41">
        <w:t>–</w:t>
      </w:r>
      <w:r w:rsidR="006E405A">
        <w:t xml:space="preserve"> </w:t>
      </w:r>
      <w:r w:rsidR="00F86A41">
        <w:t xml:space="preserve">Dense establishment of perennial species can be a problem as it can prevent the establishment </w:t>
      </w:r>
      <w:r w:rsidR="00DB7484">
        <w:t xml:space="preserve">of </w:t>
      </w:r>
      <w:r w:rsidR="00F86A41">
        <w:t xml:space="preserve">forbs. </w:t>
      </w:r>
      <w:r w:rsidR="00DB7484">
        <w:t xml:space="preserve">Prescribed burning, and or herbicide application may be needed to manage perennial weeds. </w:t>
      </w:r>
      <w:r w:rsidR="00F86A41">
        <w:t xml:space="preserve"> </w:t>
      </w:r>
    </w:p>
    <w:p w14:paraId="642892D8" w14:textId="77777777" w:rsidR="00A0508F" w:rsidRDefault="006E405A" w:rsidP="00A0508F">
      <w:r>
        <w:rPr>
          <w:rStyle w:val="IntenseEmphasis"/>
        </w:rPr>
        <w:t>L</w:t>
      </w:r>
      <w:r w:rsidR="00A0508F" w:rsidRPr="006E405A">
        <w:rPr>
          <w:rStyle w:val="IntenseEmphasis"/>
        </w:rPr>
        <w:t xml:space="preserve">ow </w:t>
      </w:r>
      <w:r w:rsidR="00462D0C">
        <w:rPr>
          <w:rStyle w:val="IntenseEmphasis"/>
        </w:rPr>
        <w:t>F</w:t>
      </w:r>
      <w:r w:rsidR="00A0508F" w:rsidRPr="006E405A">
        <w:rPr>
          <w:rStyle w:val="IntenseEmphasis"/>
        </w:rPr>
        <w:t xml:space="preserve">orb </w:t>
      </w:r>
      <w:r w:rsidR="00462D0C">
        <w:rPr>
          <w:rStyle w:val="IntenseEmphasis"/>
        </w:rPr>
        <w:t>D</w:t>
      </w:r>
      <w:r w:rsidR="00A0508F" w:rsidRPr="006E405A">
        <w:rPr>
          <w:rStyle w:val="IntenseEmphasis"/>
        </w:rPr>
        <w:t xml:space="preserve">iversity </w:t>
      </w:r>
      <w:r w:rsidR="00462D0C">
        <w:rPr>
          <w:rStyle w:val="IntenseEmphasis"/>
        </w:rPr>
        <w:t>A</w:t>
      </w:r>
      <w:r w:rsidR="00A0508F" w:rsidRPr="006E405A">
        <w:rPr>
          <w:rStyle w:val="IntenseEmphasis"/>
        </w:rPr>
        <w:t xml:space="preserve">fter </w:t>
      </w:r>
      <w:r w:rsidR="00462D0C">
        <w:rPr>
          <w:rStyle w:val="IntenseEmphasis"/>
        </w:rPr>
        <w:t>Y</w:t>
      </w:r>
      <w:r w:rsidR="00A0508F" w:rsidRPr="006E405A">
        <w:rPr>
          <w:rStyle w:val="IntenseEmphasis"/>
        </w:rPr>
        <w:t>ear 3</w:t>
      </w:r>
      <w:r>
        <w:t xml:space="preserve"> </w:t>
      </w:r>
      <w:r w:rsidR="00F86A41">
        <w:t>–</w:t>
      </w:r>
      <w:r>
        <w:t xml:space="preserve"> </w:t>
      </w:r>
      <w:r w:rsidR="00F86A41">
        <w:t>If grasses and sedges are establishing successfully but there is a lack of forbs it is recommended to conduct inter-seeding of additional forbs in late fall</w:t>
      </w:r>
      <w:r w:rsidR="00DB7484">
        <w:t xml:space="preserve"> or after a prescribed fire in spring or fall. See the </w:t>
      </w:r>
      <w:hyperlink r:id="rId13" w:history="1">
        <w:r w:rsidR="00DB7484" w:rsidRPr="00DB7484">
          <w:rPr>
            <w:rStyle w:val="Hyperlink"/>
          </w:rPr>
          <w:t>Xerces Society guide</w:t>
        </w:r>
      </w:hyperlink>
      <w:r w:rsidR="00DB7484">
        <w:t xml:space="preserve"> for additional information about inter-seeding wildflowers.</w:t>
      </w:r>
    </w:p>
    <w:p w14:paraId="0396544B" w14:textId="77777777" w:rsidR="00B05527" w:rsidRDefault="00B05527"/>
    <w:sectPr w:rsidR="00B05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22DDA"/>
    <w:multiLevelType w:val="multilevel"/>
    <w:tmpl w:val="9C6E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F0883"/>
    <w:multiLevelType w:val="multilevel"/>
    <w:tmpl w:val="59AE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6633119">
    <w:abstractNumId w:val="1"/>
  </w:num>
  <w:num w:numId="2" w16cid:durableId="1228952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08F"/>
    <w:rsid w:val="000172D9"/>
    <w:rsid w:val="00033DE8"/>
    <w:rsid w:val="000566FF"/>
    <w:rsid w:val="000B157C"/>
    <w:rsid w:val="00101EDC"/>
    <w:rsid w:val="00124784"/>
    <w:rsid w:val="001353A5"/>
    <w:rsid w:val="00170657"/>
    <w:rsid w:val="001C2EE8"/>
    <w:rsid w:val="00211590"/>
    <w:rsid w:val="00241834"/>
    <w:rsid w:val="00256F03"/>
    <w:rsid w:val="00282D99"/>
    <w:rsid w:val="0029344D"/>
    <w:rsid w:val="002A3104"/>
    <w:rsid w:val="002B3680"/>
    <w:rsid w:val="003049F9"/>
    <w:rsid w:val="003102E2"/>
    <w:rsid w:val="00310AD1"/>
    <w:rsid w:val="00364827"/>
    <w:rsid w:val="00376D2E"/>
    <w:rsid w:val="003F4182"/>
    <w:rsid w:val="00432A96"/>
    <w:rsid w:val="004430B1"/>
    <w:rsid w:val="004430B8"/>
    <w:rsid w:val="004566C5"/>
    <w:rsid w:val="00462D0C"/>
    <w:rsid w:val="00473934"/>
    <w:rsid w:val="00484F2E"/>
    <w:rsid w:val="004B2D2D"/>
    <w:rsid w:val="004D2F6F"/>
    <w:rsid w:val="004E1BA4"/>
    <w:rsid w:val="005032D3"/>
    <w:rsid w:val="005655BB"/>
    <w:rsid w:val="005C5573"/>
    <w:rsid w:val="005D719A"/>
    <w:rsid w:val="00620B04"/>
    <w:rsid w:val="006511E6"/>
    <w:rsid w:val="006577BE"/>
    <w:rsid w:val="006932A6"/>
    <w:rsid w:val="006D3AFC"/>
    <w:rsid w:val="006E405A"/>
    <w:rsid w:val="0083491B"/>
    <w:rsid w:val="008512DD"/>
    <w:rsid w:val="008602EB"/>
    <w:rsid w:val="008715CB"/>
    <w:rsid w:val="008D448E"/>
    <w:rsid w:val="008E4590"/>
    <w:rsid w:val="009244FE"/>
    <w:rsid w:val="00924A29"/>
    <w:rsid w:val="00927D79"/>
    <w:rsid w:val="00937762"/>
    <w:rsid w:val="00945D36"/>
    <w:rsid w:val="00952A74"/>
    <w:rsid w:val="009A6E59"/>
    <w:rsid w:val="00A0508F"/>
    <w:rsid w:val="00A12A2B"/>
    <w:rsid w:val="00A323D8"/>
    <w:rsid w:val="00A45FC8"/>
    <w:rsid w:val="00A610BE"/>
    <w:rsid w:val="00A67662"/>
    <w:rsid w:val="00A75FE4"/>
    <w:rsid w:val="00A85D69"/>
    <w:rsid w:val="00AC642B"/>
    <w:rsid w:val="00AC7B66"/>
    <w:rsid w:val="00B05527"/>
    <w:rsid w:val="00B235AF"/>
    <w:rsid w:val="00B73F8D"/>
    <w:rsid w:val="00B775FD"/>
    <w:rsid w:val="00B8613E"/>
    <w:rsid w:val="00B90A37"/>
    <w:rsid w:val="00BC6BD2"/>
    <w:rsid w:val="00CC0AAD"/>
    <w:rsid w:val="00CE584B"/>
    <w:rsid w:val="00CE7BEC"/>
    <w:rsid w:val="00D2172D"/>
    <w:rsid w:val="00D25655"/>
    <w:rsid w:val="00D4588B"/>
    <w:rsid w:val="00D81A3F"/>
    <w:rsid w:val="00DA021C"/>
    <w:rsid w:val="00DB7484"/>
    <w:rsid w:val="00DC6F8D"/>
    <w:rsid w:val="00DF40A8"/>
    <w:rsid w:val="00E43433"/>
    <w:rsid w:val="00E96F42"/>
    <w:rsid w:val="00EA2B12"/>
    <w:rsid w:val="00ED4CA9"/>
    <w:rsid w:val="00F12387"/>
    <w:rsid w:val="00F84E25"/>
    <w:rsid w:val="00F86A41"/>
    <w:rsid w:val="00FA3A32"/>
    <w:rsid w:val="00FE5B91"/>
    <w:rsid w:val="0B75DCD6"/>
    <w:rsid w:val="13A5C182"/>
    <w:rsid w:val="17F30821"/>
    <w:rsid w:val="1861D0CB"/>
    <w:rsid w:val="1DD56C63"/>
    <w:rsid w:val="22B6E782"/>
    <w:rsid w:val="264826FE"/>
    <w:rsid w:val="30872EBC"/>
    <w:rsid w:val="34F8BDD8"/>
    <w:rsid w:val="360F9790"/>
    <w:rsid w:val="362A1398"/>
    <w:rsid w:val="43CCE0D1"/>
    <w:rsid w:val="4C1250B2"/>
    <w:rsid w:val="5800C44B"/>
    <w:rsid w:val="5D6994E5"/>
    <w:rsid w:val="64965D42"/>
    <w:rsid w:val="6733B7F2"/>
    <w:rsid w:val="6F2EE300"/>
    <w:rsid w:val="71A9A423"/>
    <w:rsid w:val="7BD85430"/>
    <w:rsid w:val="7C50C4AF"/>
    <w:rsid w:val="7E024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5A2C"/>
  <w15:chartTrackingRefBased/>
  <w15:docId w15:val="{9C6D1C5C-9FD2-4156-BF1C-3B5370C8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8F"/>
    <w:pPr>
      <w:spacing w:after="0" w:line="240" w:lineRule="auto"/>
    </w:pPr>
    <w:rPr>
      <w:rFonts w:ascii="Calibri" w:hAnsi="Calibri" w:cs="Calibri"/>
    </w:rPr>
  </w:style>
  <w:style w:type="paragraph" w:styleId="Heading1">
    <w:name w:val="heading 1"/>
    <w:basedOn w:val="Normal"/>
    <w:next w:val="Normal"/>
    <w:link w:val="Heading1Char"/>
    <w:uiPriority w:val="9"/>
    <w:qFormat/>
    <w:rsid w:val="0083491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491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491B"/>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584B"/>
    <w:rPr>
      <w:color w:val="0563C1" w:themeColor="hyperlink"/>
      <w:u w:val="single"/>
    </w:rPr>
  </w:style>
  <w:style w:type="character" w:customStyle="1" w:styleId="UnresolvedMention1">
    <w:name w:val="Unresolved Mention1"/>
    <w:basedOn w:val="DefaultParagraphFont"/>
    <w:uiPriority w:val="99"/>
    <w:semiHidden/>
    <w:unhideWhenUsed/>
    <w:rsid w:val="00CE584B"/>
    <w:rPr>
      <w:color w:val="605E5C"/>
      <w:shd w:val="clear" w:color="auto" w:fill="E1DFDD"/>
    </w:rPr>
  </w:style>
  <w:style w:type="character" w:styleId="IntenseEmphasis">
    <w:name w:val="Intense Emphasis"/>
    <w:basedOn w:val="DefaultParagraphFont"/>
    <w:uiPriority w:val="21"/>
    <w:qFormat/>
    <w:rsid w:val="00CE584B"/>
    <w:rPr>
      <w:i/>
      <w:iCs/>
      <w:color w:val="4472C4" w:themeColor="accent1"/>
    </w:rPr>
  </w:style>
  <w:style w:type="paragraph" w:styleId="IntenseQuote">
    <w:name w:val="Intense Quote"/>
    <w:basedOn w:val="Normal"/>
    <w:next w:val="Normal"/>
    <w:link w:val="IntenseQuoteChar"/>
    <w:uiPriority w:val="30"/>
    <w:qFormat/>
    <w:rsid w:val="006E40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405A"/>
    <w:rPr>
      <w:rFonts w:ascii="Calibri" w:hAnsi="Calibri" w:cs="Calibri"/>
      <w:i/>
      <w:iCs/>
      <w:color w:val="4472C4" w:themeColor="accent1"/>
    </w:rPr>
  </w:style>
  <w:style w:type="character" w:styleId="CommentReference">
    <w:name w:val="annotation reference"/>
    <w:basedOn w:val="DefaultParagraphFont"/>
    <w:uiPriority w:val="99"/>
    <w:semiHidden/>
    <w:unhideWhenUsed/>
    <w:rsid w:val="00A323D8"/>
    <w:rPr>
      <w:sz w:val="16"/>
      <w:szCs w:val="16"/>
    </w:rPr>
  </w:style>
  <w:style w:type="paragraph" w:styleId="CommentText">
    <w:name w:val="annotation text"/>
    <w:basedOn w:val="Normal"/>
    <w:link w:val="CommentTextChar"/>
    <w:uiPriority w:val="99"/>
    <w:semiHidden/>
    <w:unhideWhenUsed/>
    <w:rsid w:val="00A323D8"/>
    <w:rPr>
      <w:sz w:val="20"/>
      <w:szCs w:val="20"/>
    </w:rPr>
  </w:style>
  <w:style w:type="character" w:customStyle="1" w:styleId="CommentTextChar">
    <w:name w:val="Comment Text Char"/>
    <w:basedOn w:val="DefaultParagraphFont"/>
    <w:link w:val="CommentText"/>
    <w:uiPriority w:val="99"/>
    <w:semiHidden/>
    <w:rsid w:val="00A323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A323D8"/>
    <w:rPr>
      <w:b/>
      <w:bCs/>
    </w:rPr>
  </w:style>
  <w:style w:type="character" w:customStyle="1" w:styleId="CommentSubjectChar">
    <w:name w:val="Comment Subject Char"/>
    <w:basedOn w:val="CommentTextChar"/>
    <w:link w:val="CommentSubject"/>
    <w:uiPriority w:val="99"/>
    <w:semiHidden/>
    <w:rsid w:val="00A323D8"/>
    <w:rPr>
      <w:rFonts w:ascii="Calibri" w:hAnsi="Calibri" w:cs="Calibri"/>
      <w:b/>
      <w:bCs/>
      <w:sz w:val="20"/>
      <w:szCs w:val="20"/>
    </w:rPr>
  </w:style>
  <w:style w:type="paragraph" w:styleId="BalloonText">
    <w:name w:val="Balloon Text"/>
    <w:basedOn w:val="Normal"/>
    <w:link w:val="BalloonTextChar"/>
    <w:uiPriority w:val="99"/>
    <w:semiHidden/>
    <w:unhideWhenUsed/>
    <w:rsid w:val="00A323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3D8"/>
    <w:rPr>
      <w:rFonts w:ascii="Segoe UI" w:hAnsi="Segoe UI" w:cs="Segoe UI"/>
      <w:sz w:val="18"/>
      <w:szCs w:val="18"/>
    </w:rPr>
  </w:style>
  <w:style w:type="paragraph" w:customStyle="1" w:styleId="Default">
    <w:name w:val="Default"/>
    <w:rsid w:val="00DA021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0172D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0172D9"/>
    <w:rPr>
      <w:b/>
      <w:bCs/>
    </w:rPr>
  </w:style>
  <w:style w:type="paragraph" w:customStyle="1" w:styleId="paragraph">
    <w:name w:val="paragraph"/>
    <w:basedOn w:val="Normal"/>
    <w:rsid w:val="00B8613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8613E"/>
  </w:style>
  <w:style w:type="character" w:customStyle="1" w:styleId="Heading1Char">
    <w:name w:val="Heading 1 Char"/>
    <w:basedOn w:val="DefaultParagraphFont"/>
    <w:link w:val="Heading1"/>
    <w:uiPriority w:val="9"/>
    <w:rsid w:val="008349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49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491B"/>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3491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91B"/>
    <w:rPr>
      <w:rFonts w:asciiTheme="majorHAnsi" w:eastAsiaTheme="majorEastAsia" w:hAnsiTheme="majorHAnsi" w:cstheme="majorBidi"/>
      <w:spacing w:val="-10"/>
      <w:kern w:val="28"/>
      <w:sz w:val="56"/>
      <w:szCs w:val="56"/>
    </w:rPr>
  </w:style>
  <w:style w:type="table" w:styleId="GridTable6Colorful">
    <w:name w:val="Grid Table 6 Colorful"/>
    <w:basedOn w:val="TableNormal"/>
    <w:uiPriority w:val="51"/>
    <w:rsid w:val="0083491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26265">
      <w:bodyDiv w:val="1"/>
      <w:marLeft w:val="0"/>
      <w:marRight w:val="0"/>
      <w:marTop w:val="0"/>
      <w:marBottom w:val="0"/>
      <w:divBdr>
        <w:top w:val="none" w:sz="0" w:space="0" w:color="auto"/>
        <w:left w:val="none" w:sz="0" w:space="0" w:color="auto"/>
        <w:bottom w:val="none" w:sz="0" w:space="0" w:color="auto"/>
        <w:right w:val="none" w:sz="0" w:space="0" w:color="auto"/>
      </w:divBdr>
    </w:div>
    <w:div w:id="725567985">
      <w:bodyDiv w:val="1"/>
      <w:marLeft w:val="0"/>
      <w:marRight w:val="0"/>
      <w:marTop w:val="0"/>
      <w:marBottom w:val="0"/>
      <w:divBdr>
        <w:top w:val="none" w:sz="0" w:space="0" w:color="auto"/>
        <w:left w:val="none" w:sz="0" w:space="0" w:color="auto"/>
        <w:bottom w:val="none" w:sz="0" w:space="0" w:color="auto"/>
        <w:right w:val="none" w:sz="0" w:space="0" w:color="auto"/>
      </w:divBdr>
    </w:div>
    <w:div w:id="852497261">
      <w:bodyDiv w:val="1"/>
      <w:marLeft w:val="0"/>
      <w:marRight w:val="0"/>
      <w:marTop w:val="0"/>
      <w:marBottom w:val="0"/>
      <w:divBdr>
        <w:top w:val="none" w:sz="0" w:space="0" w:color="auto"/>
        <w:left w:val="none" w:sz="0" w:space="0" w:color="auto"/>
        <w:bottom w:val="none" w:sz="0" w:space="0" w:color="auto"/>
        <w:right w:val="none" w:sz="0" w:space="0" w:color="auto"/>
      </w:divBdr>
    </w:div>
    <w:div w:id="954556002">
      <w:bodyDiv w:val="1"/>
      <w:marLeft w:val="0"/>
      <w:marRight w:val="0"/>
      <w:marTop w:val="0"/>
      <w:marBottom w:val="0"/>
      <w:divBdr>
        <w:top w:val="none" w:sz="0" w:space="0" w:color="auto"/>
        <w:left w:val="none" w:sz="0" w:space="0" w:color="auto"/>
        <w:bottom w:val="none" w:sz="0" w:space="0" w:color="auto"/>
        <w:right w:val="none" w:sz="0" w:space="0" w:color="auto"/>
      </w:divBdr>
    </w:div>
    <w:div w:id="1796948447">
      <w:bodyDiv w:val="1"/>
      <w:marLeft w:val="0"/>
      <w:marRight w:val="0"/>
      <w:marTop w:val="0"/>
      <w:marBottom w:val="0"/>
      <w:divBdr>
        <w:top w:val="none" w:sz="0" w:space="0" w:color="auto"/>
        <w:left w:val="none" w:sz="0" w:space="0" w:color="auto"/>
        <w:bottom w:val="none" w:sz="0" w:space="0" w:color="auto"/>
        <w:right w:val="none" w:sz="0" w:space="0" w:color="auto"/>
      </w:divBdr>
    </w:div>
    <w:div w:id="197552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erces.org/publications/guidelines/interseeding-wildflowers-to-diversify-grasslands-for-pollinator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da.state.mn.us/pesticide-fertilizer/integrated-pest-manageme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wsr.state.mn.us/seed-mix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2E6F4475B4364FB2DF0900946C4B0D" ma:contentTypeVersion="6" ma:contentTypeDescription="Create a new document." ma:contentTypeScope="" ma:versionID="c795dab67ea53f38c9cf145d788fef53">
  <xsd:schema xmlns:xsd="http://www.w3.org/2001/XMLSchema" xmlns:xs="http://www.w3.org/2001/XMLSchema" xmlns:p="http://schemas.microsoft.com/office/2006/metadata/properties" xmlns:ns2="ed37426c-40bd-4a45-9ec1-df064aaa9130" xmlns:ns3="5e5027df-e74e-4ce0-b9c9-d835891705a8" targetNamespace="http://schemas.microsoft.com/office/2006/metadata/properties" ma:root="true" ma:fieldsID="dd92267601e163b49a5ea87bb45ff76f" ns2:_="" ns3:_="">
    <xsd:import namespace="ed37426c-40bd-4a45-9ec1-df064aaa9130"/>
    <xsd:import namespace="5e5027df-e74e-4ce0-b9c9-d835891705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7426c-40bd-4a45-9ec1-df064aaa9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5027df-e74e-4ce0-b9c9-d835891705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F4C63-0619-48A6-B31B-E6BEF3B3C7D7}">
  <ds:schemaRefs>
    <ds:schemaRef ds:uri="http://schemas.microsoft.com/sharepoint/v3/contenttype/forms"/>
  </ds:schemaRefs>
</ds:datastoreItem>
</file>

<file path=customXml/itemProps2.xml><?xml version="1.0" encoding="utf-8"?>
<ds:datastoreItem xmlns:ds="http://schemas.openxmlformats.org/officeDocument/2006/customXml" ds:itemID="{9257A147-36F3-45E3-9A7E-E28F88714352}">
  <ds:schemaRefs>
    <ds:schemaRef ds:uri="http://schemas.microsoft.com/office/2006/documentManagement/types"/>
    <ds:schemaRef ds:uri="ed37426c-40bd-4a45-9ec1-df064aaa9130"/>
    <ds:schemaRef ds:uri="http://purl.org/dc/terms/"/>
    <ds:schemaRef ds:uri="http://schemas.openxmlformats.org/package/2006/metadata/core-properties"/>
    <ds:schemaRef ds:uri="http://purl.org/dc/dcmitype/"/>
    <ds:schemaRef ds:uri="http://schemas.microsoft.com/office/infopath/2007/PartnerControls"/>
    <ds:schemaRef ds:uri="5e5027df-e74e-4ce0-b9c9-d835891705a8"/>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0832E4-450F-47A8-A982-0E1BA8BD4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7426c-40bd-4a45-9ec1-df064aaa9130"/>
    <ds:schemaRef ds:uri="5e5027df-e74e-4ce0-b9c9-d83589170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3195</Words>
  <Characters>18218</Characters>
  <Application>Microsoft Office Word</Application>
  <DocSecurity>0</DocSecurity>
  <Lines>151</Lines>
  <Paragraphs>42</Paragraphs>
  <ScaleCrop>false</ScaleCrop>
  <Company>State of MN</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Rost, Cecelia (She/Her/Hers) (BWSR)</cp:lastModifiedBy>
  <cp:revision>53</cp:revision>
  <dcterms:created xsi:type="dcterms:W3CDTF">2021-01-01T16:03:00Z</dcterms:created>
  <dcterms:modified xsi:type="dcterms:W3CDTF">2024-04-09T15:49:00Z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0x010100AA2E6F4475B4364FB2DF0900946C4B0D</vt:lpwstr>
  </property>
</Properties>
</file>