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inorHAnsi" w:hAnsiTheme="minorHAnsi"/>
          <w:b w:val="0"/>
          <w:color w:val="auto"/>
          <w:sz w:val="22"/>
          <w:szCs w:val="22"/>
        </w:rPr>
        <w:id w:val="10729564"/>
        <w:docPartObj>
          <w:docPartGallery w:val="Cover Pages"/>
          <w:docPartUnique/>
        </w:docPartObj>
      </w:sdtPr>
      <w:sdtEndPr>
        <w:rPr>
          <w:rFonts w:ascii="Calibri" w:hAnsi="Calibri"/>
        </w:rPr>
      </w:sdtEndPr>
      <w:sdtContent>
        <w:p w14:paraId="7DE07D00" w14:textId="7EAE7675" w:rsidR="00DE7985" w:rsidRDefault="00B01812" w:rsidP="00D82120">
          <w:pPr>
            <w:pStyle w:val="Heading1"/>
          </w:pPr>
          <w:r>
            <w:t xml:space="preserve">Lawns to Legumes </w:t>
          </w:r>
          <w:r w:rsidR="002E317F">
            <w:t xml:space="preserve">Demonstration Neighborhood </w:t>
          </w:r>
          <w:r w:rsidR="00F11B3C">
            <w:t xml:space="preserve">Grant </w:t>
          </w:r>
          <w:r>
            <w:t>Program</w:t>
          </w:r>
          <w:r w:rsidR="00EF0432" w:rsidRPr="00DE786D">
            <w:t xml:space="preserve"> </w:t>
          </w:r>
          <w:r w:rsidR="00A4242A" w:rsidRPr="00DE786D">
            <w:t>Policy</w:t>
          </w:r>
        </w:p>
        <w:p w14:paraId="28285460" w14:textId="2DD02809" w:rsidR="00EB7CD0" w:rsidRPr="00EB7CD0" w:rsidRDefault="00EB7CD0" w:rsidP="005211A2">
          <w:pPr>
            <w:pStyle w:val="BodyText"/>
          </w:pPr>
          <w:r w:rsidRPr="00EB7CD0">
            <w:t>From the Board of Water and Soil Resources, State of Minnesota</w:t>
          </w:r>
        </w:p>
        <w:p w14:paraId="2E39A597" w14:textId="77777777" w:rsidR="00EB7CD0" w:rsidRDefault="00EB7CD0" w:rsidP="005211A2">
          <w:pPr>
            <w:pStyle w:val="BodyText"/>
          </w:pPr>
        </w:p>
        <w:p w14:paraId="74926CF7" w14:textId="77777777" w:rsidR="00DE7985" w:rsidRPr="00B902ED" w:rsidRDefault="00DE7985" w:rsidP="005211A2">
          <w:pPr>
            <w:pStyle w:val="BodyText"/>
          </w:pPr>
          <w:r w:rsidRPr="00B902ED">
            <w:t xml:space="preserve">Version: </w:t>
          </w:r>
          <w:r w:rsidRPr="00B902ED">
            <w:tab/>
          </w:r>
          <w:r w:rsidR="00347706" w:rsidRPr="00B902ED">
            <w:t>1</w:t>
          </w:r>
          <w:r w:rsidRPr="00B902ED">
            <w:t>.00</w:t>
          </w:r>
        </w:p>
        <w:p w14:paraId="306B3B23" w14:textId="4F639C2C" w:rsidR="00DE7985" w:rsidRPr="00B902ED" w:rsidRDefault="00DE7985" w:rsidP="005211A2">
          <w:pPr>
            <w:pStyle w:val="BodyText"/>
          </w:pPr>
          <w:r w:rsidRPr="00B902ED">
            <w:t xml:space="preserve">Effective Date: </w:t>
          </w:r>
          <w:r w:rsidRPr="00B902ED">
            <w:tab/>
          </w:r>
          <w:r w:rsidR="00B01812">
            <w:t>TBD</w:t>
          </w:r>
        </w:p>
        <w:p w14:paraId="1CC88DDA" w14:textId="306D70E3" w:rsidR="00DE7985" w:rsidRPr="00B902ED" w:rsidRDefault="00DE7985" w:rsidP="005211A2">
          <w:pPr>
            <w:pStyle w:val="BodyText"/>
          </w:pPr>
          <w:r w:rsidRPr="00342C12">
            <w:t>Approval:</w:t>
          </w:r>
          <w:r w:rsidRPr="00B902ED">
            <w:tab/>
          </w:r>
          <w:r w:rsidR="00342C12">
            <w:t>Board Order #</w:t>
          </w:r>
        </w:p>
        <w:p w14:paraId="54F69965" w14:textId="005B1C45" w:rsidR="00DE7985" w:rsidRPr="00B902ED" w:rsidRDefault="00347706" w:rsidP="00613C55">
          <w:pPr>
            <w:pStyle w:val="Heading2"/>
            <w:tabs>
              <w:tab w:val="left" w:pos="6090"/>
            </w:tabs>
          </w:pPr>
          <w:r w:rsidRPr="00B902ED">
            <w:t>Policy</w:t>
          </w:r>
          <w:r w:rsidR="00DE7985" w:rsidRPr="00B902ED">
            <w:t xml:space="preserve"> Statement</w:t>
          </w:r>
          <w:r w:rsidR="00613C55">
            <w:tab/>
          </w:r>
          <w:r w:rsidR="00613C55">
            <w:tab/>
          </w:r>
        </w:p>
        <w:p w14:paraId="27D9F99C" w14:textId="1FFBEBC0" w:rsidR="001503FB" w:rsidRPr="00767280" w:rsidRDefault="002247E0" w:rsidP="005211A2">
          <w:pPr>
            <w:spacing w:before="0" w:after="120" w:line="252" w:lineRule="auto"/>
            <w:rPr>
              <w:b/>
            </w:rPr>
          </w:pPr>
          <w:r w:rsidRPr="001503FB">
            <w:t xml:space="preserve">The </w:t>
          </w:r>
          <w:r w:rsidR="00767280">
            <w:t>Lawns to Legumes program was established to provide demonstration projects to plant residential lawns with native vegetation and pollinator-friendly forbs and legumes to protect a diversity of pollinators, as authorized by Minnesota Session Laws 2019, Chapter 4, Article 2, Section 2, Subd. 8(f) and future similar appropriations.</w:t>
          </w:r>
        </w:p>
        <w:p w14:paraId="041BC6A1" w14:textId="77777777" w:rsidR="00DE7985" w:rsidRPr="00866257" w:rsidRDefault="00613C5A" w:rsidP="00EB7CD0">
          <w:pPr>
            <w:pStyle w:val="Heading2"/>
          </w:pPr>
          <w:r w:rsidRPr="00866257">
            <w:t>Reason for this Policy</w:t>
          </w:r>
        </w:p>
        <w:p w14:paraId="7B2F0116" w14:textId="4779BF9C" w:rsidR="00767280" w:rsidRDefault="00767280" w:rsidP="00767280">
          <w:pPr>
            <w:spacing w:before="0" w:after="120" w:line="252" w:lineRule="auto"/>
          </w:pPr>
          <w:r>
            <w:t xml:space="preserve">The </w:t>
          </w:r>
          <w:r w:rsidRPr="001503FB">
            <w:t xml:space="preserve">purpose of this policy is to provide </w:t>
          </w:r>
          <w:r>
            <w:t xml:space="preserve">clear </w:t>
          </w:r>
          <w:r w:rsidRPr="001503FB">
            <w:t xml:space="preserve">expectations for </w:t>
          </w:r>
          <w:r>
            <w:t xml:space="preserve">the implementation of grants delivered through this program. More specific requirements or criteria may </w:t>
          </w:r>
          <w:r w:rsidR="002E317F">
            <w:t>apply</w:t>
          </w:r>
          <w:r>
            <w:t xml:space="preserve"> when specified by statute, rule, funding source, or appropriation language. </w:t>
          </w:r>
        </w:p>
        <w:p w14:paraId="2EEB623A" w14:textId="18191957" w:rsidR="00767280" w:rsidRDefault="00767280" w:rsidP="00767280">
          <w:pPr>
            <w:spacing w:before="0" w:after="120" w:line="252" w:lineRule="auto"/>
          </w:pPr>
          <w:r>
            <w:t xml:space="preserve">Grantees are responsible for the administration and decisions concerning the use of these funds in accordance with applicable Minnesota Statutes, </w:t>
          </w:r>
          <w:r w:rsidR="002E317F">
            <w:t>state agency</w:t>
          </w:r>
          <w:r>
            <w:t xml:space="preserve"> policies, and other applicable laws. BWSR will use grant agreements as contracts for assurance of deliverables and compliance with applicable laws and program policies. </w:t>
          </w:r>
        </w:p>
        <w:p w14:paraId="42DDD8A5" w14:textId="71CB8D90" w:rsidR="00767280" w:rsidRPr="00767280" w:rsidRDefault="00767280" w:rsidP="00767280">
          <w:pPr>
            <w:spacing w:before="0" w:after="120" w:line="252" w:lineRule="auto"/>
            <w:rPr>
              <w:b/>
            </w:rPr>
          </w:pPr>
          <w:r>
            <w:rPr>
              <w:b/>
            </w:rPr>
            <w:t xml:space="preserve">The BWSR Grants Administration Manual provides the primary framework for management of these funds. </w:t>
          </w:r>
        </w:p>
        <w:p w14:paraId="6120B216" w14:textId="50AABE6A" w:rsidR="00613C5A" w:rsidRDefault="00001D22" w:rsidP="00B54011">
          <w:pPr>
            <w:pStyle w:val="Heading2"/>
          </w:pPr>
          <w:r>
            <w:t xml:space="preserve">Lawns to Legumes Program </w:t>
          </w:r>
        </w:p>
        <w:p w14:paraId="320CFCEA" w14:textId="39C45B74" w:rsidR="004E45F1" w:rsidRDefault="004E45F1" w:rsidP="004E45F1">
          <w:pPr>
            <w:pStyle w:val="Heading3"/>
          </w:pPr>
          <w:r w:rsidRPr="003127F9">
            <w:t xml:space="preserve">Applicant Eligibility </w:t>
          </w:r>
        </w:p>
        <w:p w14:paraId="3CE46152" w14:textId="6C6174B4" w:rsidR="0024254C" w:rsidRDefault="0024254C" w:rsidP="009878D9">
          <w:pPr>
            <w:pStyle w:val="BodyText"/>
            <w:sectPr w:rsidR="0024254C" w:rsidSect="00DE7985">
              <w:headerReference w:type="default" r:id="rId8"/>
              <w:footerReference w:type="default" r:id="rId9"/>
              <w:headerReference w:type="first" r:id="rId10"/>
              <w:footerReference w:type="first" r:id="rId11"/>
              <w:type w:val="continuous"/>
              <w:pgSz w:w="12240" w:h="15840" w:code="1"/>
              <w:pgMar w:top="1728" w:right="1080" w:bottom="1080" w:left="1080" w:header="0" w:footer="504" w:gutter="0"/>
              <w:cols w:space="720"/>
              <w:titlePg/>
              <w:docGrid w:linePitch="326"/>
            </w:sectPr>
          </w:pPr>
          <w:r>
            <w:t>Eligible applicants include any of the following entities from across the State of Minnesota:</w:t>
          </w:r>
        </w:p>
        <w:p w14:paraId="23736773" w14:textId="3A21C737" w:rsidR="00E879D7" w:rsidRDefault="00E879D7" w:rsidP="00E879D7">
          <w:pPr>
            <w:pStyle w:val="BodyText"/>
            <w:numPr>
              <w:ilvl w:val="0"/>
              <w:numId w:val="18"/>
            </w:numPr>
          </w:pPr>
          <w:r>
            <w:t>Cities</w:t>
          </w:r>
        </w:p>
        <w:p w14:paraId="7213C45C" w14:textId="77777777" w:rsidR="00E879D7" w:rsidRDefault="00E879D7" w:rsidP="00E879D7">
          <w:pPr>
            <w:pStyle w:val="BodyText"/>
            <w:numPr>
              <w:ilvl w:val="0"/>
              <w:numId w:val="18"/>
            </w:numPr>
          </w:pPr>
          <w:r>
            <w:t>Counties</w:t>
          </w:r>
        </w:p>
        <w:p w14:paraId="49AFDFB2" w14:textId="77777777" w:rsidR="00E879D7" w:rsidRDefault="00E879D7" w:rsidP="00E879D7">
          <w:pPr>
            <w:pStyle w:val="BodyText"/>
            <w:numPr>
              <w:ilvl w:val="0"/>
              <w:numId w:val="18"/>
            </w:numPr>
          </w:pPr>
          <w:r>
            <w:t>Watershed Districts</w:t>
          </w:r>
        </w:p>
        <w:p w14:paraId="770ED957" w14:textId="77777777" w:rsidR="00E879D7" w:rsidRDefault="00E879D7" w:rsidP="00E879D7">
          <w:pPr>
            <w:pStyle w:val="BodyText"/>
            <w:numPr>
              <w:ilvl w:val="0"/>
              <w:numId w:val="18"/>
            </w:numPr>
          </w:pPr>
          <w:r>
            <w:t>Soil and Water Conservation Districts</w:t>
          </w:r>
        </w:p>
        <w:p w14:paraId="7358F90E" w14:textId="50609485" w:rsidR="00E879D7" w:rsidRDefault="00F30667" w:rsidP="00E879D7">
          <w:pPr>
            <w:pStyle w:val="BodyText"/>
            <w:numPr>
              <w:ilvl w:val="0"/>
              <w:numId w:val="18"/>
            </w:numPr>
          </w:pPr>
          <w:r>
            <w:t>Nongovernmental organizations</w:t>
          </w:r>
        </w:p>
        <w:p w14:paraId="2175434E" w14:textId="77777777" w:rsidR="00E879D7" w:rsidRDefault="00E879D7" w:rsidP="00E879D7">
          <w:pPr>
            <w:pStyle w:val="BodyText"/>
            <w:numPr>
              <w:ilvl w:val="0"/>
              <w:numId w:val="18"/>
            </w:numPr>
          </w:pPr>
          <w:r>
            <w:t xml:space="preserve">Tribal Governments </w:t>
          </w:r>
        </w:p>
        <w:p w14:paraId="7948E7F1" w14:textId="77777777" w:rsidR="00E879D7" w:rsidRDefault="00E879D7" w:rsidP="009878D9">
          <w:pPr>
            <w:pStyle w:val="BodyText"/>
            <w:sectPr w:rsidR="00E879D7" w:rsidSect="00E879D7">
              <w:type w:val="continuous"/>
              <w:pgSz w:w="12240" w:h="15840" w:code="1"/>
              <w:pgMar w:top="1728" w:right="1080" w:bottom="1080" w:left="1080" w:header="0" w:footer="504" w:gutter="0"/>
              <w:cols w:num="3" w:space="720"/>
              <w:titlePg/>
              <w:docGrid w:linePitch="326"/>
            </w:sectPr>
          </w:pPr>
        </w:p>
        <w:p w14:paraId="3CF539AC" w14:textId="5F0F1D2A" w:rsidR="009878D9" w:rsidRDefault="00D54073" w:rsidP="009878D9">
          <w:pPr>
            <w:pStyle w:val="BodyText"/>
          </w:pPr>
          <w:r>
            <w:t xml:space="preserve">Notwithstanding Minnesota Statutes, 103B.3369, grants for this program are exempt from the </w:t>
          </w:r>
          <w:r w:rsidR="009878D9">
            <w:t xml:space="preserve">Local Water Plan </w:t>
          </w:r>
          <w:r w:rsidR="00E879D7">
            <w:t xml:space="preserve">requirements </w:t>
          </w:r>
          <w:r w:rsidR="00C42695">
            <w:t xml:space="preserve">outlined in the Grants Administration Manual </w:t>
          </w:r>
          <w:r>
            <w:t>Local Water Plan Status and Grant Eligibility Policy</w:t>
          </w:r>
          <w:r w:rsidR="00C42695">
            <w:t xml:space="preserve">. </w:t>
          </w:r>
          <w:r w:rsidR="009878D9">
            <w:t xml:space="preserve"> </w:t>
          </w:r>
        </w:p>
        <w:p w14:paraId="61DEBA88" w14:textId="43845218" w:rsidR="00F15A0D" w:rsidRPr="009878D9" w:rsidRDefault="00F15A0D" w:rsidP="009878D9">
          <w:pPr>
            <w:pStyle w:val="BodyText"/>
          </w:pPr>
          <w:r>
            <w:lastRenderedPageBreak/>
            <w:t xml:space="preserve">Definition of non-governmental organization follows the Office of Grants Management definition as </w:t>
          </w:r>
          <w:r w:rsidR="00FC26D1">
            <w:t>outlined</w:t>
          </w:r>
          <w:r>
            <w:t xml:space="preserve"> in </w:t>
          </w:r>
          <w:hyperlink r:id="rId12" w:history="1">
            <w:r w:rsidRPr="00F15A0D">
              <w:rPr>
                <w:rStyle w:val="Hyperlink"/>
              </w:rPr>
              <w:t>Policy 08-06</w:t>
            </w:r>
          </w:hyperlink>
          <w:r>
            <w:t xml:space="preserve"> on Financial Review of Nongovernmental Organizations.</w:t>
          </w:r>
        </w:p>
        <w:p w14:paraId="5F537A8B" w14:textId="1A1DA2A8" w:rsidR="001503FB" w:rsidRDefault="001503FB" w:rsidP="003127F9">
          <w:pPr>
            <w:pStyle w:val="Heading3"/>
          </w:pPr>
          <w:r w:rsidRPr="001503FB">
            <w:t>Match Requirements</w:t>
          </w:r>
        </w:p>
        <w:p w14:paraId="7DF5D447" w14:textId="3EE4B346" w:rsidR="00001D22" w:rsidRPr="00001D22" w:rsidRDefault="00001D22" w:rsidP="00001D22">
          <w:pPr>
            <w:pStyle w:val="BodyText"/>
          </w:pPr>
          <w:r>
            <w:t xml:space="preserve">A minimum non-state match equal to at least 25% is required, except in areas identified by the United States Fish and Wildlife Service as areas where there is a high potential for rusty patched bumble bees to be present, where only a 10% match is required. </w:t>
          </w:r>
          <w:r w:rsidR="00E67F5D">
            <w:t xml:space="preserve">The linked </w:t>
          </w:r>
          <w:hyperlink r:id="rId13" w:history="1">
            <w:r w:rsidR="00E67F5D" w:rsidRPr="00E67F5D">
              <w:rPr>
                <w:rStyle w:val="Hyperlink"/>
              </w:rPr>
              <w:t>map</w:t>
            </w:r>
          </w:hyperlink>
          <w:r w:rsidR="00E67F5D">
            <w:t xml:space="preserve"> provides locations </w:t>
          </w:r>
          <w:r w:rsidR="00170384">
            <w:t>with</w:t>
          </w:r>
          <w:r w:rsidR="00E67F5D">
            <w:t xml:space="preserve"> high potential for rusty patched bumble bees to be present. </w:t>
          </w:r>
          <w:r>
            <w:t xml:space="preserve">The match must be cash or in-kind cash value of goods, materials, and services directly attributed to project accomplishments. </w:t>
          </w:r>
        </w:p>
        <w:p w14:paraId="4F9BF996" w14:textId="22BDDB50" w:rsidR="001503FB" w:rsidRDefault="001503FB" w:rsidP="003127F9">
          <w:pPr>
            <w:pStyle w:val="Heading3"/>
          </w:pPr>
          <w:r w:rsidRPr="00714A9A">
            <w:t>Eligible Activities</w:t>
          </w:r>
        </w:p>
        <w:p w14:paraId="6893442F" w14:textId="3CE7E516" w:rsidR="0099603A" w:rsidRDefault="0099603A" w:rsidP="0099603A">
          <w:pPr>
            <w:pStyle w:val="BodyText"/>
          </w:pPr>
          <w:r>
            <w:t>The primary purpose of activities fund</w:t>
          </w:r>
          <w:r w:rsidR="00612A67">
            <w:t>ed</w:t>
          </w:r>
          <w:r>
            <w:t xml:space="preserve"> through this program is </w:t>
          </w:r>
          <w:r w:rsidR="00612A67">
            <w:t>to increase the populations of rusty patched bumble bees and other at-risk pollinators through planting residential lawns with native vegetation and pollinator-friendly forbs. E</w:t>
          </w:r>
          <w:r>
            <w:t>ligible activities include the following categories:</w:t>
          </w:r>
        </w:p>
        <w:p w14:paraId="0EC985B2" w14:textId="52B75B7A" w:rsidR="0099603A" w:rsidRDefault="0099603A" w:rsidP="0099603A">
          <w:pPr>
            <w:pStyle w:val="BodyText"/>
            <w:numPr>
              <w:ilvl w:val="1"/>
              <w:numId w:val="4"/>
            </w:numPr>
          </w:pPr>
          <w:r>
            <w:rPr>
              <w:b/>
            </w:rPr>
            <w:t xml:space="preserve">Technical Assistance. </w:t>
          </w:r>
          <w:r w:rsidR="00D91079">
            <w:t xml:space="preserve">Eligible activities include but are not limited to: </w:t>
          </w:r>
          <w:r w:rsidR="009D170D">
            <w:t>development of project plans and specifications.</w:t>
          </w:r>
        </w:p>
        <w:p w14:paraId="416E167B" w14:textId="73F78833" w:rsidR="00767280" w:rsidRPr="00767280" w:rsidRDefault="00767280" w:rsidP="0099603A">
          <w:pPr>
            <w:pStyle w:val="BodyText"/>
            <w:numPr>
              <w:ilvl w:val="1"/>
              <w:numId w:val="4"/>
            </w:numPr>
          </w:pPr>
          <w:r>
            <w:rPr>
              <w:b/>
            </w:rPr>
            <w:t xml:space="preserve">Grant Management and Reporting. </w:t>
          </w:r>
          <w:r w:rsidR="00D91079">
            <w:t xml:space="preserve">Grant funds may be used for local grant management and reporting that are directly related to and necessary for implementing the program. </w:t>
          </w:r>
        </w:p>
        <w:p w14:paraId="6B14FEB0" w14:textId="4DB0B85E" w:rsidR="00D91079" w:rsidRDefault="00D91079" w:rsidP="0099603A">
          <w:pPr>
            <w:pStyle w:val="BodyText"/>
            <w:numPr>
              <w:ilvl w:val="1"/>
              <w:numId w:val="4"/>
            </w:numPr>
          </w:pPr>
          <w:r>
            <w:rPr>
              <w:b/>
            </w:rPr>
            <w:t>Conservation Practice Cost Share and Incentives</w:t>
          </w:r>
          <w:r w:rsidR="00767280">
            <w:rPr>
              <w:b/>
            </w:rPr>
            <w:t>.</w:t>
          </w:r>
          <w:r>
            <w:rPr>
              <w:b/>
            </w:rPr>
            <w:t xml:space="preserve"> </w:t>
          </w:r>
          <w:r w:rsidR="009D170D">
            <w:t xml:space="preserve">Eligible expenses include site preparation, planting and management costs </w:t>
          </w:r>
          <w:r w:rsidR="002E317F">
            <w:t xml:space="preserve">including but not limited to, </w:t>
          </w:r>
          <w:r w:rsidR="009D170D">
            <w:t>tilling, burning, sod removal, weed barriers, seeds, containerized plants, flowering trees, flowering shrubs, seeding, inter-seeding, weed removal, in accordance with the approved grant work plan.</w:t>
          </w:r>
        </w:p>
        <w:p w14:paraId="0CC63349" w14:textId="305E9ADA" w:rsidR="009D170D" w:rsidRPr="00651F6F" w:rsidRDefault="009D170D" w:rsidP="009D170D">
          <w:pPr>
            <w:pStyle w:val="BodyText"/>
            <w:numPr>
              <w:ilvl w:val="2"/>
              <w:numId w:val="4"/>
            </w:numPr>
          </w:pPr>
          <w:r>
            <w:t xml:space="preserve">Non-herbicide methods of site preparation and management are preferred, see Xerces </w:t>
          </w:r>
          <w:r w:rsidRPr="00651F6F">
            <w:t>Society guide to “</w:t>
          </w:r>
          <w:hyperlink r:id="rId14" w:history="1">
            <w:r w:rsidRPr="00651F6F">
              <w:rPr>
                <w:rStyle w:val="Hyperlink"/>
              </w:rPr>
              <w:t>Organic Site Preparation Methods</w:t>
            </w:r>
          </w:hyperlink>
          <w:r w:rsidRPr="00651F6F">
            <w:t>.”</w:t>
          </w:r>
        </w:p>
        <w:p w14:paraId="3F0C62EC" w14:textId="2E5D9BD8" w:rsidR="00767280" w:rsidRPr="00651F6F" w:rsidRDefault="00D91079" w:rsidP="0099603A">
          <w:pPr>
            <w:pStyle w:val="BodyText"/>
            <w:numPr>
              <w:ilvl w:val="1"/>
              <w:numId w:val="4"/>
            </w:numPr>
          </w:pPr>
          <w:r w:rsidRPr="00651F6F">
            <w:rPr>
              <w:b/>
            </w:rPr>
            <w:t xml:space="preserve">Maintenance through grant period. </w:t>
          </w:r>
          <w:r w:rsidR="00F74EC2" w:rsidRPr="00651F6F">
            <w:t xml:space="preserve">It is important that plantings that are funded through this program are maintained. All landowners receiving funding will be asked to sign a BWSR provided </w:t>
          </w:r>
          <w:r w:rsidR="00A2563A">
            <w:t>landowner</w:t>
          </w:r>
          <w:r w:rsidR="00F74EC2" w:rsidRPr="00651F6F">
            <w:t xml:space="preserve"> agreement that summarizes the expected lifespan of the project and provides information about project maintenance. Maintenance must focus both on maintaining the habitat value and aesthetics of projects.</w:t>
          </w:r>
        </w:p>
        <w:p w14:paraId="112C168D" w14:textId="2591DE43" w:rsidR="00001D22" w:rsidRDefault="00001D22" w:rsidP="00001D22">
          <w:pPr>
            <w:pStyle w:val="Heading3"/>
          </w:pPr>
          <w:r w:rsidRPr="00714A9A">
            <w:t>Ineligible Expenses</w:t>
          </w:r>
        </w:p>
        <w:p w14:paraId="6F996F01" w14:textId="0D0C2055" w:rsidR="009878D9" w:rsidRPr="00B24543" w:rsidRDefault="009878D9" w:rsidP="009878D9">
          <w:pPr>
            <w:pStyle w:val="BodyText"/>
            <w:numPr>
              <w:ilvl w:val="1"/>
              <w:numId w:val="4"/>
            </w:numPr>
          </w:pPr>
          <w:r w:rsidRPr="00B24543">
            <w:t xml:space="preserve">Environment and Natural Resources Trust Fund (ENRTF) funding cannot be used to pay for space and other associated overhead costs. Billing rates charged to these grants may include the employee’s base hourly rate plus benefits. Required match can be provided through other facilities and administration costs such as space, vehicle, computers, and other associated overhead costs. Lawns to Legumes </w:t>
          </w:r>
          <w:r w:rsidR="002F5CFA" w:rsidRPr="00B24543">
            <w:t xml:space="preserve">Demonstration Neighborhood </w:t>
          </w:r>
          <w:r w:rsidRPr="00B24543">
            <w:t xml:space="preserve">grants can only be used for the Lawns to Legumes </w:t>
          </w:r>
          <w:r w:rsidR="002F5CFA" w:rsidRPr="00B24543">
            <w:t xml:space="preserve">Demonstration Neighborhood </w:t>
          </w:r>
          <w:r w:rsidRPr="00B24543">
            <w:t>program and not for other Federal o</w:t>
          </w:r>
          <w:r w:rsidR="006F54E6" w:rsidRPr="00B24543">
            <w:t>r</w:t>
          </w:r>
          <w:r w:rsidRPr="00B24543">
            <w:t xml:space="preserve"> State programs. </w:t>
          </w:r>
        </w:p>
        <w:p w14:paraId="6E538A7A" w14:textId="6E66CFAD" w:rsidR="009878D9" w:rsidRPr="000B2CC0" w:rsidRDefault="000B2CC0" w:rsidP="009878D9">
          <w:pPr>
            <w:pStyle w:val="BodyText"/>
            <w:numPr>
              <w:ilvl w:val="1"/>
              <w:numId w:val="4"/>
            </w:numPr>
          </w:pPr>
          <w:r w:rsidRPr="000B2CC0">
            <w:t xml:space="preserve">See the unallowable costs as defined in the Grant Administration Manual – </w:t>
          </w:r>
          <w:hyperlink r:id="rId15" w:history="1">
            <w:r w:rsidR="0024254C" w:rsidRPr="0024254C">
              <w:rPr>
                <w:rStyle w:val="Hyperlink"/>
              </w:rPr>
              <w:t>Allowable and Unallowable Cost</w:t>
            </w:r>
          </w:hyperlink>
          <w:r w:rsidR="0024254C" w:rsidRPr="0024254C">
            <w:t xml:space="preserve"> section.</w:t>
          </w:r>
        </w:p>
        <w:p w14:paraId="0CE5158E" w14:textId="7113E4B8" w:rsidR="00E879D7" w:rsidRDefault="00E879D7" w:rsidP="003127F9">
          <w:pPr>
            <w:pStyle w:val="Heading3"/>
          </w:pPr>
          <w:r>
            <w:lastRenderedPageBreak/>
            <w:t>Technical Quality Assurance</w:t>
          </w:r>
        </w:p>
        <w:p w14:paraId="233A6D0B" w14:textId="2D3A6C43" w:rsidR="00E879D7" w:rsidRPr="00E879D7" w:rsidRDefault="00F74EC2" w:rsidP="00E879D7">
          <w:pPr>
            <w:pStyle w:val="BodyText"/>
          </w:pPr>
          <w:r w:rsidRPr="00651F6F">
            <w:t xml:space="preserve">Technical advisors working </w:t>
          </w:r>
          <w:r w:rsidR="0024254C">
            <w:t xml:space="preserve">with </w:t>
          </w:r>
          <w:r w:rsidRPr="00651F6F">
            <w:t>landowners on project design and implementation must have experience working on residential habitat</w:t>
          </w:r>
          <w:r w:rsidR="0024254C">
            <w:t xml:space="preserve">, native vegetation </w:t>
          </w:r>
          <w:r w:rsidRPr="00651F6F">
            <w:t>projects</w:t>
          </w:r>
          <w:r w:rsidR="0024254C">
            <w:t>,</w:t>
          </w:r>
          <w:r w:rsidRPr="00651F6F">
            <w:t xml:space="preserve"> and be able to successfully guide project design and maintenance. In some cases, planting templates or pollinator lawn guidance developed by BWSR or Blue Thumb can be used as guidance for plantings. More </w:t>
          </w:r>
          <w:r w:rsidR="0024254C">
            <w:t>complex</w:t>
          </w:r>
          <w:r w:rsidRPr="00651F6F">
            <w:t xml:space="preserve"> plantings may need a planting plan. </w:t>
          </w:r>
          <w:r w:rsidR="00A2563A">
            <w:t xml:space="preserve">Applicants that do not have staff with sufficient technical knowledge can partner with </w:t>
          </w:r>
          <w:r w:rsidR="00D47A8C">
            <w:t xml:space="preserve">Soil and Water Conservation Districts, </w:t>
          </w:r>
          <w:r w:rsidR="002E317F">
            <w:t xml:space="preserve">other local governments, </w:t>
          </w:r>
          <w:r w:rsidR="00A2563A">
            <w:t xml:space="preserve">non-profits or consultants that have sufficient expertise. </w:t>
          </w:r>
        </w:p>
        <w:p w14:paraId="0ED49187" w14:textId="261EF68C" w:rsidR="00001D22" w:rsidRDefault="00001D22" w:rsidP="003127F9">
          <w:pPr>
            <w:pStyle w:val="Heading3"/>
          </w:pPr>
          <w:r>
            <w:t>Grant Work Plan and Reporting Requirements</w:t>
          </w:r>
        </w:p>
        <w:p w14:paraId="43BBDD9D" w14:textId="665DA8A1" w:rsidR="0024254C" w:rsidRDefault="00001D22" w:rsidP="00001D22">
          <w:pPr>
            <w:pStyle w:val="BodyText"/>
          </w:pPr>
          <w:r>
            <w:t xml:space="preserve">To ensure the success of the program, development of grant work plans, regular reporting of expenditures, and technical assistance and accomplishments are required. </w:t>
          </w:r>
        </w:p>
        <w:p w14:paraId="1D901140" w14:textId="42DC7586" w:rsidR="0024254C" w:rsidRPr="00E67F5D" w:rsidRDefault="0024254C" w:rsidP="00001D22">
          <w:pPr>
            <w:pStyle w:val="BodyText"/>
            <w:numPr>
              <w:ilvl w:val="1"/>
              <w:numId w:val="4"/>
            </w:numPr>
          </w:pPr>
          <w:r>
            <w:rPr>
              <w:b/>
            </w:rPr>
            <w:t xml:space="preserve">Grant Execution. </w:t>
          </w:r>
          <w:r>
            <w:t>Grant agreement must be executed before work can begin on this grant and all work must occur within the grant period.</w:t>
          </w:r>
        </w:p>
        <w:p w14:paraId="478C9967" w14:textId="20F2CC30" w:rsidR="00001D22" w:rsidRDefault="00001D22" w:rsidP="00001D22">
          <w:pPr>
            <w:pStyle w:val="BodyText"/>
            <w:numPr>
              <w:ilvl w:val="1"/>
              <w:numId w:val="4"/>
            </w:numPr>
          </w:pPr>
          <w:r>
            <w:rPr>
              <w:b/>
            </w:rPr>
            <w:t xml:space="preserve">Grant Work Plan. </w:t>
          </w:r>
          <w:r>
            <w:t xml:space="preserve">Work plans shall be developed in eLINK and must be approved before work can begin on this grant. Work plans shall reflect each eligible activity, a description of the anticipated activity accomplishments, and grant and match funding amounts to accomplish each of the activities. </w:t>
          </w:r>
        </w:p>
        <w:p w14:paraId="1D06AD74" w14:textId="5F0E8D20" w:rsidR="00001D22" w:rsidRPr="00B24543" w:rsidRDefault="00001D22" w:rsidP="00001D22">
          <w:pPr>
            <w:pStyle w:val="BodyText"/>
            <w:numPr>
              <w:ilvl w:val="1"/>
              <w:numId w:val="4"/>
            </w:numPr>
          </w:pPr>
          <w:r w:rsidRPr="00B24543">
            <w:rPr>
              <w:b/>
            </w:rPr>
            <w:t>Grant Reporting.</w:t>
          </w:r>
          <w:r w:rsidRPr="00B24543">
            <w:t xml:space="preserve"> Descriptions of actual results and financial expenditures for each work plan activity must be reported in eLINK by February 1 of each year. </w:t>
          </w:r>
        </w:p>
        <w:p w14:paraId="5B70B585" w14:textId="5A59B516" w:rsidR="0099603A" w:rsidRDefault="0099603A" w:rsidP="0099603A">
          <w:pPr>
            <w:pStyle w:val="BodyText"/>
            <w:numPr>
              <w:ilvl w:val="1"/>
              <w:numId w:val="4"/>
            </w:numPr>
          </w:pPr>
          <w:r>
            <w:rPr>
              <w:b/>
            </w:rPr>
            <w:t>Grant Closeout.</w:t>
          </w:r>
          <w:r>
            <w:t xml:space="preserve"> Within thirty (30) calendar days of the </w:t>
          </w:r>
          <w:r w:rsidR="00E67F5D">
            <w:t>expiration</w:t>
          </w:r>
          <w:r>
            <w:t xml:space="preserve"> of each grant agreement or expenditure of all grant funds, whichever occurs first, grantees are required to: </w:t>
          </w:r>
        </w:p>
        <w:p w14:paraId="0C9E92C9" w14:textId="13A5E25B" w:rsidR="00E879D7" w:rsidRDefault="0099603A" w:rsidP="00E879D7">
          <w:pPr>
            <w:pStyle w:val="BodyText"/>
            <w:numPr>
              <w:ilvl w:val="0"/>
              <w:numId w:val="17"/>
            </w:numPr>
          </w:pPr>
          <w:r>
            <w:t xml:space="preserve">Provide </w:t>
          </w:r>
          <w:r w:rsidR="00405016">
            <w:t xml:space="preserve">a summary </w:t>
          </w:r>
          <w:r>
            <w:t xml:space="preserve">of all work plan </w:t>
          </w:r>
          <w:r w:rsidR="00405016">
            <w:t>accomplishments</w:t>
          </w:r>
          <w:r w:rsidR="00E67F5D">
            <w:t xml:space="preserve"> </w:t>
          </w:r>
          <w:r>
            <w:t>w</w:t>
          </w:r>
          <w:r w:rsidR="00E879D7">
            <w:t>ith grant funding in eLINK; and</w:t>
          </w:r>
        </w:p>
        <w:p w14:paraId="6D1953B7" w14:textId="0C95F97F" w:rsidR="00E879D7" w:rsidRDefault="0099603A" w:rsidP="00E879D7">
          <w:pPr>
            <w:pStyle w:val="BodyText"/>
            <w:numPr>
              <w:ilvl w:val="0"/>
              <w:numId w:val="17"/>
            </w:numPr>
          </w:pPr>
          <w:r>
            <w:t>Submit a signed eLINK Financial Report to BWSR</w:t>
          </w:r>
          <w:r w:rsidR="00741E93">
            <w:t>.</w:t>
          </w:r>
        </w:p>
        <w:p w14:paraId="0C8D891A" w14:textId="36ECB114" w:rsidR="00B54011" w:rsidRDefault="00B54011" w:rsidP="003127F9">
          <w:pPr>
            <w:pStyle w:val="Heading3"/>
          </w:pPr>
          <w:r w:rsidRPr="00B54011">
            <w:t>BWSR Grant Administration Requirements</w:t>
          </w:r>
        </w:p>
        <w:p w14:paraId="6A3295C2" w14:textId="1DEF94D8" w:rsidR="00675A37" w:rsidRPr="00675A37" w:rsidRDefault="00675A37" w:rsidP="00675A37">
          <w:pPr>
            <w:pStyle w:val="BodyText"/>
          </w:pPr>
          <w:r w:rsidRPr="00675A37">
            <w:t xml:space="preserve">BWSR staff is authorized to </w:t>
          </w:r>
          <w:r w:rsidR="0024254C">
            <w:t xml:space="preserve">review grant applicant’s financial records to establish </w:t>
          </w:r>
          <w:r w:rsidR="00E67F5D">
            <w:t xml:space="preserve">capacity to successfully manage state grant funds, </w:t>
          </w:r>
          <w:r w:rsidRPr="00675A37">
            <w:t xml:space="preserve">develop grant agreements, </w:t>
          </w:r>
          <w:r w:rsidR="0099603A">
            <w:t xml:space="preserve">including </w:t>
          </w:r>
          <w:r w:rsidRPr="00675A37">
            <w:t xml:space="preserve">requirements and processes for </w:t>
          </w:r>
          <w:r w:rsidR="00F53243">
            <w:t xml:space="preserve">work plans, </w:t>
          </w:r>
          <w:r w:rsidRPr="00675A37">
            <w:t xml:space="preserve">project outcomes reporting, closeouts, and fiscal reconciliations. </w:t>
          </w:r>
          <w:r w:rsidR="0099603A">
            <w:t xml:space="preserve">All grantees must follow the grant agreement and </w:t>
          </w:r>
          <w:r w:rsidR="00F30667">
            <w:t xml:space="preserve">applicable sections of the </w:t>
          </w:r>
          <w:r w:rsidR="0099603A">
            <w:t xml:space="preserve">Grants Administration Manual. </w:t>
          </w:r>
        </w:p>
        <w:p w14:paraId="0061CBBC" w14:textId="27FF2E81" w:rsidR="00675A37" w:rsidRPr="002F1563" w:rsidRDefault="00675A37" w:rsidP="00675A37">
          <w:pPr>
            <w:pStyle w:val="BodyText"/>
          </w:pPr>
          <w:r w:rsidRPr="00675A37">
            <w:t xml:space="preserve">In the event there is a violation of the terms of the grant agreement, BWSR will enforce the grant agreement and evaluate appropriate actions, </w:t>
          </w:r>
          <w:r w:rsidR="0099603A">
            <w:t xml:space="preserve">up to and </w:t>
          </w:r>
          <w:r w:rsidRPr="00675A37">
            <w:t>including repayment of grant funds at a rate up to 1</w:t>
          </w:r>
          <w:r w:rsidR="00620B0D">
            <w:t>0</w:t>
          </w:r>
          <w:r w:rsidRPr="00675A37">
            <w:t>0% of the grant agreement.</w:t>
          </w:r>
          <w:r>
            <w:t xml:space="preserve">  </w:t>
          </w:r>
        </w:p>
        <w:p w14:paraId="6563C2DA" w14:textId="77777777" w:rsidR="00DE7985" w:rsidRPr="00280E45" w:rsidRDefault="00DE7985" w:rsidP="00DE7985">
          <w:pPr>
            <w:pStyle w:val="Heading2"/>
          </w:pPr>
          <w:r w:rsidRPr="00280E45">
            <w:t>History</w:t>
          </w:r>
        </w:p>
        <w:tbl>
          <w:tblPr>
            <w:tblStyle w:val="TableGrid1"/>
            <w:tblW w:w="10165" w:type="dxa"/>
            <w:tblLook w:val="04A0" w:firstRow="1" w:lastRow="0" w:firstColumn="1" w:lastColumn="0" w:noHBand="0" w:noVBand="1"/>
            <w:tblDescription w:val="table"/>
          </w:tblPr>
          <w:tblGrid>
            <w:gridCol w:w="1345"/>
            <w:gridCol w:w="7110"/>
            <w:gridCol w:w="1710"/>
          </w:tblGrid>
          <w:tr w:rsidR="0087428A" w:rsidRPr="00A56037" w14:paraId="3DB41FFE" w14:textId="77777777" w:rsidTr="001F4BD8">
            <w:trPr>
              <w:cnfStyle w:val="100000000000" w:firstRow="1" w:lastRow="0" w:firstColumn="0" w:lastColumn="0" w:oddVBand="0" w:evenVBand="0" w:oddHBand="0" w:evenHBand="0" w:firstRowFirstColumn="0" w:firstRowLastColumn="0" w:lastRowFirstColumn="0" w:lastRowLastColumn="0"/>
              <w:tblHeader/>
            </w:trPr>
            <w:tc>
              <w:tcPr>
                <w:tcW w:w="1345" w:type="dxa"/>
              </w:tcPr>
              <w:p w14:paraId="3F36FF7C" w14:textId="77777777" w:rsidR="0087428A" w:rsidRPr="000D2D6D" w:rsidRDefault="0087428A" w:rsidP="0087428A">
                <w:pPr>
                  <w:pStyle w:val="TableH1"/>
                </w:pPr>
                <w:r w:rsidRPr="000D2D6D">
                  <w:t>Version</w:t>
                </w:r>
              </w:p>
            </w:tc>
            <w:tc>
              <w:tcPr>
                <w:tcW w:w="7110" w:type="dxa"/>
              </w:tcPr>
              <w:p w14:paraId="3BF40D2A" w14:textId="77777777" w:rsidR="0087428A" w:rsidRPr="000D2D6D" w:rsidRDefault="0087428A" w:rsidP="0087428A">
                <w:pPr>
                  <w:pStyle w:val="TableH1"/>
                </w:pPr>
                <w:r w:rsidRPr="000D2D6D">
                  <w:t>Description</w:t>
                </w:r>
              </w:p>
            </w:tc>
            <w:tc>
              <w:tcPr>
                <w:tcW w:w="1710" w:type="dxa"/>
              </w:tcPr>
              <w:p w14:paraId="1CA9EB49" w14:textId="77777777" w:rsidR="0087428A" w:rsidRPr="000D2D6D" w:rsidRDefault="0087428A" w:rsidP="0087428A">
                <w:pPr>
                  <w:pStyle w:val="TableH1"/>
                </w:pPr>
                <w:r w:rsidRPr="000D2D6D">
                  <w:t>Date</w:t>
                </w:r>
              </w:p>
            </w:tc>
          </w:tr>
          <w:tr w:rsidR="00854C4B" w:rsidRPr="00A56037" w14:paraId="681CAAB9" w14:textId="77777777" w:rsidTr="001F4BD8">
            <w:trPr>
              <w:cnfStyle w:val="000000100000" w:firstRow="0" w:lastRow="0" w:firstColumn="0" w:lastColumn="0" w:oddVBand="0" w:evenVBand="0" w:oddHBand="1" w:evenHBand="0" w:firstRowFirstColumn="0" w:firstRowLastColumn="0" w:lastRowFirstColumn="0" w:lastRowLastColumn="0"/>
            </w:trPr>
            <w:tc>
              <w:tcPr>
                <w:tcW w:w="1345" w:type="dxa"/>
              </w:tcPr>
              <w:p w14:paraId="169D6767" w14:textId="7CC24732" w:rsidR="00854C4B" w:rsidRPr="000D2D6D" w:rsidRDefault="00CF53EE" w:rsidP="005211A2">
                <w:pPr>
                  <w:pStyle w:val="BodyText"/>
                </w:pPr>
                <w:r>
                  <w:t>1</w:t>
                </w:r>
                <w:r w:rsidR="00854C4B" w:rsidRPr="000D2D6D">
                  <w:t>.00</w:t>
                </w:r>
              </w:p>
            </w:tc>
            <w:tc>
              <w:tcPr>
                <w:tcW w:w="7110" w:type="dxa"/>
              </w:tcPr>
              <w:p w14:paraId="2F9494B7" w14:textId="6F5B9338" w:rsidR="00854C4B" w:rsidRPr="000D2D6D" w:rsidRDefault="00B01812" w:rsidP="005211A2">
                <w:pPr>
                  <w:pStyle w:val="BodyText"/>
                </w:pPr>
                <w:r>
                  <w:t>Lawns to Legumes Program Policy - new</w:t>
                </w:r>
              </w:p>
            </w:tc>
            <w:tc>
              <w:tcPr>
                <w:tcW w:w="1710" w:type="dxa"/>
              </w:tcPr>
              <w:p w14:paraId="7219F018" w14:textId="713608E2" w:rsidR="00854C4B" w:rsidRPr="000D2D6D" w:rsidRDefault="00CA068D" w:rsidP="005211A2">
                <w:pPr>
                  <w:pStyle w:val="BodyText"/>
                </w:pPr>
                <w:r>
                  <w:t>October 23, 2019</w:t>
                </w:r>
              </w:p>
            </w:tc>
          </w:tr>
        </w:tbl>
        <w:p w14:paraId="0D464F2D" w14:textId="05BEB723" w:rsidR="00F71068" w:rsidRPr="00DE7985" w:rsidRDefault="00F6230E" w:rsidP="005211A2">
          <w:pPr>
            <w:pStyle w:val="BodyText"/>
            <w:sectPr w:rsidR="00F71068" w:rsidRPr="00DE7985" w:rsidSect="00DE7985">
              <w:type w:val="continuous"/>
              <w:pgSz w:w="12240" w:h="15840" w:code="1"/>
              <w:pgMar w:top="1728" w:right="1080" w:bottom="1080" w:left="1080" w:header="0" w:footer="504" w:gutter="0"/>
              <w:cols w:space="720"/>
              <w:titlePg/>
              <w:docGrid w:linePitch="326"/>
            </w:sectPr>
          </w:pPr>
        </w:p>
      </w:sdtContent>
    </w:sdt>
    <w:p w14:paraId="00679175" w14:textId="36311113" w:rsidR="00E91E3A" w:rsidRPr="002F1947" w:rsidRDefault="00E91E3A" w:rsidP="003776BA">
      <w:pPr>
        <w:pStyle w:val="List"/>
        <w:numPr>
          <w:ilvl w:val="0"/>
          <w:numId w:val="0"/>
        </w:numPr>
      </w:pPr>
    </w:p>
    <w:sectPr w:rsidR="00E91E3A" w:rsidRPr="002F1947" w:rsidSect="00622BB5">
      <w:headerReference w:type="even" r:id="rId16"/>
      <w:headerReference w:type="default" r:id="rId17"/>
      <w:headerReference w:type="first" r:id="rId18"/>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3C45E" w14:textId="77777777" w:rsidR="002A79C2" w:rsidRDefault="002A79C2">
      <w:r>
        <w:separator/>
      </w:r>
    </w:p>
  </w:endnote>
  <w:endnote w:type="continuationSeparator" w:id="0">
    <w:p w14:paraId="4325C891" w14:textId="77777777" w:rsidR="002A79C2" w:rsidRDefault="002A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45BED" w14:textId="716415D6" w:rsidR="00D6504D" w:rsidRPr="00DE7985" w:rsidRDefault="00D6504D" w:rsidP="00DE7985">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Pr>
        <w:rFonts w:asciiTheme="minorHAnsi" w:hAnsiTheme="minorHAnsi"/>
        <w:sz w:val="18"/>
        <w:szCs w:val="18"/>
      </w:rPr>
      <w:ptab w:relativeTo="margin" w:alignment="center" w:leader="none"/>
    </w:r>
    <w:r>
      <w:rPr>
        <w:rFonts w:asciiTheme="minorHAnsi" w:hAnsiTheme="minorHAnsi"/>
        <w:sz w:val="18"/>
        <w:szCs w:val="18"/>
      </w:rPr>
      <w:t>www.bwsr.state.mn.us</w:t>
    </w: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405016">
      <w:rPr>
        <w:rFonts w:asciiTheme="minorHAnsi" w:hAnsiTheme="minorHAnsi"/>
        <w:noProof/>
        <w:sz w:val="18"/>
        <w:szCs w:val="18"/>
      </w:rPr>
      <w:t>3</w:t>
    </w:r>
    <w:r w:rsidRPr="00AF5107">
      <w:rPr>
        <w:rFonts w:asciiTheme="minorHAnsi" w:hAnsiTheme="min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D775" w14:textId="188A741B" w:rsidR="00D6504D" w:rsidRPr="00DE7985" w:rsidRDefault="00D6504D" w:rsidP="00DE7985">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Pr>
        <w:rFonts w:asciiTheme="minorHAnsi" w:hAnsiTheme="minorHAnsi"/>
        <w:sz w:val="18"/>
        <w:szCs w:val="18"/>
      </w:rPr>
      <w:ptab w:relativeTo="margin" w:alignment="center" w:leader="none"/>
    </w:r>
    <w:r>
      <w:rPr>
        <w:rFonts w:asciiTheme="minorHAnsi" w:hAnsiTheme="minorHAnsi"/>
        <w:sz w:val="18"/>
        <w:szCs w:val="18"/>
      </w:rPr>
      <w:t>www.bwsr.state.mn.us</w:t>
    </w: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D47A8C">
      <w:rPr>
        <w:rFonts w:asciiTheme="minorHAnsi" w:hAnsiTheme="minorHAnsi"/>
        <w:noProof/>
        <w:sz w:val="18"/>
        <w:szCs w:val="18"/>
      </w:rPr>
      <w:t>1</w:t>
    </w:r>
    <w:r w:rsidRPr="00AF5107">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EC704" w14:textId="77777777" w:rsidR="002A79C2" w:rsidRDefault="002A79C2">
      <w:r>
        <w:separator/>
      </w:r>
    </w:p>
  </w:footnote>
  <w:footnote w:type="continuationSeparator" w:id="0">
    <w:p w14:paraId="4DFC8B2A" w14:textId="77777777" w:rsidR="002A79C2" w:rsidRDefault="002A7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D64D" w14:textId="5B0F8E63" w:rsidR="00AC6F7B" w:rsidRDefault="00AC6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DC65" w14:textId="395B6B4F" w:rsidR="00D6504D" w:rsidRDefault="003F2123" w:rsidP="003F2123">
    <w:pPr>
      <w:ind w:left="720" w:firstLine="720"/>
    </w:pPr>
    <w:r>
      <w:rPr>
        <w:noProof/>
        <w:lang w:bidi="ar-SA"/>
      </w:rPr>
      <w:drawing>
        <wp:inline distT="0" distB="0" distL="0" distR="0" wp14:anchorId="033078FD" wp14:editId="1AFC76BC">
          <wp:extent cx="1417320" cy="9966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RTF-logo-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996696"/>
                  </a:xfrm>
                  <a:prstGeom prst="rect">
                    <a:avLst/>
                  </a:prstGeom>
                </pic:spPr>
              </pic:pic>
            </a:graphicData>
          </a:graphic>
        </wp:inline>
      </w:drawing>
    </w:r>
    <w:r w:rsidR="00D6504D">
      <w:rPr>
        <w:noProof/>
        <w:lang w:bidi="ar-SA"/>
      </w:rPr>
      <w:drawing>
        <wp:anchor distT="0" distB="0" distL="114300" distR="114300" simplePos="0" relativeHeight="251657216" behindDoc="0" locked="0" layoutInCell="1" allowOverlap="1" wp14:anchorId="70D57866" wp14:editId="5146202E">
          <wp:simplePos x="0" y="0"/>
          <wp:positionH relativeFrom="column">
            <wp:posOffset>-219075</wp:posOffset>
          </wp:positionH>
          <wp:positionV relativeFrom="paragraph">
            <wp:posOffset>285750</wp:posOffset>
          </wp:positionV>
          <wp:extent cx="4467225" cy="8096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ransparent.png"/>
                  <pic:cNvPicPr/>
                </pic:nvPicPr>
                <pic:blipFill>
                  <a:blip r:embed="rId2">
                    <a:extLst>
                      <a:ext uri="{28A0092B-C50C-407E-A947-70E740481C1C}">
                        <a14:useLocalDpi xmlns:a14="http://schemas.microsoft.com/office/drawing/2010/main" val="0"/>
                      </a:ext>
                    </a:extLst>
                  </a:blip>
                  <a:stretch>
                    <a:fillRect/>
                  </a:stretch>
                </pic:blipFill>
                <pic:spPr>
                  <a:xfrm>
                    <a:off x="0" y="0"/>
                    <a:ext cx="446722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9C48" w14:textId="30D3D355" w:rsidR="00D2140D" w:rsidRDefault="00D214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DB7A9" w14:textId="495F23A5" w:rsidR="00D2140D" w:rsidRDefault="00D214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E844" w14:textId="6A649C7A" w:rsidR="00D6504D" w:rsidRPr="00AE2085" w:rsidRDefault="00D6504D">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78A608C"/>
    <w:multiLevelType w:val="hybridMultilevel"/>
    <w:tmpl w:val="E0D4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17C2C"/>
    <w:multiLevelType w:val="hybridMultilevel"/>
    <w:tmpl w:val="10A6F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5A6144"/>
    <w:multiLevelType w:val="hybridMultilevel"/>
    <w:tmpl w:val="F19695D2"/>
    <w:lvl w:ilvl="0" w:tplc="26AC161E">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004D6"/>
    <w:multiLevelType w:val="hybridMultilevel"/>
    <w:tmpl w:val="A64667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824212"/>
    <w:multiLevelType w:val="hybridMultilevel"/>
    <w:tmpl w:val="C90A3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87B7A"/>
    <w:multiLevelType w:val="hybridMultilevel"/>
    <w:tmpl w:val="A64667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625189"/>
    <w:multiLevelType w:val="hybridMultilevel"/>
    <w:tmpl w:val="884892F0"/>
    <w:lvl w:ilvl="0" w:tplc="22F6796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2945CDB"/>
    <w:multiLevelType w:val="hybridMultilevel"/>
    <w:tmpl w:val="E37A3D98"/>
    <w:lvl w:ilvl="0" w:tplc="4B1251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7F161C"/>
    <w:multiLevelType w:val="hybridMultilevel"/>
    <w:tmpl w:val="C90A3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058BB"/>
    <w:multiLevelType w:val="hybridMultilevel"/>
    <w:tmpl w:val="3E20AA46"/>
    <w:lvl w:ilvl="0" w:tplc="22F679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074969"/>
    <w:multiLevelType w:val="hybridMultilevel"/>
    <w:tmpl w:val="E7C87C4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8A0EA78">
      <w:start w:val="2"/>
      <w:numFmt w:val="upperLetter"/>
      <w:lvlText w:val="%4."/>
      <w:lvlJc w:val="left"/>
      <w:pPr>
        <w:ind w:left="13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3C7382"/>
    <w:multiLevelType w:val="multilevel"/>
    <w:tmpl w:val="43C68D16"/>
    <w:lvl w:ilvl="0">
      <w:start w:val="1"/>
      <w:numFmt w:val="decimal"/>
      <w:pStyle w:val="Heading3"/>
      <w:lvlText w:val="%1."/>
      <w:lvlJc w:val="left"/>
      <w:pPr>
        <w:ind w:left="720" w:hanging="36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47EB4"/>
    <w:multiLevelType w:val="hybridMultilevel"/>
    <w:tmpl w:val="4A88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A4CC9"/>
    <w:multiLevelType w:val="hybridMultilevel"/>
    <w:tmpl w:val="F2042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35605F"/>
    <w:multiLevelType w:val="hybridMultilevel"/>
    <w:tmpl w:val="C638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4"/>
  </w:num>
  <w:num w:numId="4">
    <w:abstractNumId w:val="13"/>
  </w:num>
  <w:num w:numId="5">
    <w:abstractNumId w:val="3"/>
  </w:num>
  <w:num w:numId="6">
    <w:abstractNumId w:val="17"/>
  </w:num>
  <w:num w:numId="7">
    <w:abstractNumId w:val="1"/>
  </w:num>
  <w:num w:numId="8">
    <w:abstractNumId w:val="5"/>
  </w:num>
  <w:num w:numId="9">
    <w:abstractNumId w:val="6"/>
  </w:num>
  <w:num w:numId="10">
    <w:abstractNumId w:val="10"/>
  </w:num>
  <w:num w:numId="11">
    <w:abstractNumId w:val="12"/>
  </w:num>
  <w:num w:numId="12">
    <w:abstractNumId w:val="16"/>
  </w:num>
  <w:num w:numId="13">
    <w:abstractNumId w:val="4"/>
  </w:num>
  <w:num w:numId="14">
    <w:abstractNumId w:val="2"/>
  </w:num>
  <w:num w:numId="15">
    <w:abstractNumId w:val="9"/>
  </w:num>
  <w:num w:numId="16">
    <w:abstractNumId w:val="7"/>
  </w:num>
  <w:num w:numId="17">
    <w:abstractNumId w:val="11"/>
  </w:num>
  <w:num w:numId="1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8E"/>
    <w:rsid w:val="00001D22"/>
    <w:rsid w:val="00002DEC"/>
    <w:rsid w:val="000065AC"/>
    <w:rsid w:val="00006A0A"/>
    <w:rsid w:val="000360DA"/>
    <w:rsid w:val="00064B90"/>
    <w:rsid w:val="0007374A"/>
    <w:rsid w:val="00080404"/>
    <w:rsid w:val="00082B3A"/>
    <w:rsid w:val="00084742"/>
    <w:rsid w:val="000969A3"/>
    <w:rsid w:val="000A6A8E"/>
    <w:rsid w:val="000B17B6"/>
    <w:rsid w:val="000B2CC0"/>
    <w:rsid w:val="000B2E68"/>
    <w:rsid w:val="000C1D35"/>
    <w:rsid w:val="000C1ED1"/>
    <w:rsid w:val="000C3708"/>
    <w:rsid w:val="000C3761"/>
    <w:rsid w:val="000C7301"/>
    <w:rsid w:val="000C7373"/>
    <w:rsid w:val="000D2D6D"/>
    <w:rsid w:val="000D6D0E"/>
    <w:rsid w:val="000E313B"/>
    <w:rsid w:val="000E3E9D"/>
    <w:rsid w:val="000F3F1D"/>
    <w:rsid w:val="000F4BB1"/>
    <w:rsid w:val="000F59D3"/>
    <w:rsid w:val="00105236"/>
    <w:rsid w:val="001119E4"/>
    <w:rsid w:val="00135082"/>
    <w:rsid w:val="00135DC7"/>
    <w:rsid w:val="00147ED1"/>
    <w:rsid w:val="001500D6"/>
    <w:rsid w:val="001503FB"/>
    <w:rsid w:val="001529F0"/>
    <w:rsid w:val="00157C41"/>
    <w:rsid w:val="001661D9"/>
    <w:rsid w:val="00170384"/>
    <w:rsid w:val="001708EC"/>
    <w:rsid w:val="001925A8"/>
    <w:rsid w:val="0019673D"/>
    <w:rsid w:val="00197D9F"/>
    <w:rsid w:val="001A46BB"/>
    <w:rsid w:val="001C3C02"/>
    <w:rsid w:val="001C55E0"/>
    <w:rsid w:val="001E20F3"/>
    <w:rsid w:val="001E5ECF"/>
    <w:rsid w:val="001F4BD8"/>
    <w:rsid w:val="00211CA3"/>
    <w:rsid w:val="00214259"/>
    <w:rsid w:val="00216557"/>
    <w:rsid w:val="00222A49"/>
    <w:rsid w:val="00224792"/>
    <w:rsid w:val="002247E0"/>
    <w:rsid w:val="0022552E"/>
    <w:rsid w:val="0024254C"/>
    <w:rsid w:val="0025782C"/>
    <w:rsid w:val="00261247"/>
    <w:rsid w:val="00264652"/>
    <w:rsid w:val="00280E45"/>
    <w:rsid w:val="00282084"/>
    <w:rsid w:val="00291052"/>
    <w:rsid w:val="002A10A2"/>
    <w:rsid w:val="002A11BC"/>
    <w:rsid w:val="002A6474"/>
    <w:rsid w:val="002A79C2"/>
    <w:rsid w:val="002B5E79"/>
    <w:rsid w:val="002C0859"/>
    <w:rsid w:val="002C6FD6"/>
    <w:rsid w:val="002E139E"/>
    <w:rsid w:val="002E317F"/>
    <w:rsid w:val="002F17CF"/>
    <w:rsid w:val="002F1947"/>
    <w:rsid w:val="002F28F8"/>
    <w:rsid w:val="002F3475"/>
    <w:rsid w:val="002F5CFA"/>
    <w:rsid w:val="00303212"/>
    <w:rsid w:val="00306D94"/>
    <w:rsid w:val="003125DF"/>
    <w:rsid w:val="003127F9"/>
    <w:rsid w:val="00320685"/>
    <w:rsid w:val="00327FDD"/>
    <w:rsid w:val="00333D23"/>
    <w:rsid w:val="0033568E"/>
    <w:rsid w:val="00335736"/>
    <w:rsid w:val="00342C12"/>
    <w:rsid w:val="00347706"/>
    <w:rsid w:val="003536E0"/>
    <w:rsid w:val="003563D2"/>
    <w:rsid w:val="00376FA5"/>
    <w:rsid w:val="003776BA"/>
    <w:rsid w:val="00394537"/>
    <w:rsid w:val="003A1479"/>
    <w:rsid w:val="003A1813"/>
    <w:rsid w:val="003B7D82"/>
    <w:rsid w:val="003C37C2"/>
    <w:rsid w:val="003C4644"/>
    <w:rsid w:val="003C5BE3"/>
    <w:rsid w:val="003D195A"/>
    <w:rsid w:val="003D437A"/>
    <w:rsid w:val="003F2123"/>
    <w:rsid w:val="00400231"/>
    <w:rsid w:val="00405016"/>
    <w:rsid w:val="00413A7C"/>
    <w:rsid w:val="004141DD"/>
    <w:rsid w:val="004207A4"/>
    <w:rsid w:val="00423057"/>
    <w:rsid w:val="004323CA"/>
    <w:rsid w:val="0045196F"/>
    <w:rsid w:val="00456A01"/>
    <w:rsid w:val="00461804"/>
    <w:rsid w:val="00466810"/>
    <w:rsid w:val="004769EC"/>
    <w:rsid w:val="004816B5"/>
    <w:rsid w:val="00483DD2"/>
    <w:rsid w:val="00494E6F"/>
    <w:rsid w:val="004965A7"/>
    <w:rsid w:val="004A1B4D"/>
    <w:rsid w:val="004A58DD"/>
    <w:rsid w:val="004A6119"/>
    <w:rsid w:val="004B055F"/>
    <w:rsid w:val="004B47DC"/>
    <w:rsid w:val="004B4F30"/>
    <w:rsid w:val="004B68AC"/>
    <w:rsid w:val="004C2B1A"/>
    <w:rsid w:val="004C494F"/>
    <w:rsid w:val="004E45F1"/>
    <w:rsid w:val="004E75B3"/>
    <w:rsid w:val="004F04BA"/>
    <w:rsid w:val="004F0EFF"/>
    <w:rsid w:val="0050093F"/>
    <w:rsid w:val="00512610"/>
    <w:rsid w:val="00514788"/>
    <w:rsid w:val="005211A2"/>
    <w:rsid w:val="00535F03"/>
    <w:rsid w:val="0054371B"/>
    <w:rsid w:val="00547EE4"/>
    <w:rsid w:val="005606F3"/>
    <w:rsid w:val="0056615E"/>
    <w:rsid w:val="005666F2"/>
    <w:rsid w:val="00585FB0"/>
    <w:rsid w:val="005B2DDF"/>
    <w:rsid w:val="005B4AE7"/>
    <w:rsid w:val="005B53B0"/>
    <w:rsid w:val="005B75B2"/>
    <w:rsid w:val="005D4207"/>
    <w:rsid w:val="005D45B3"/>
    <w:rsid w:val="005E2F53"/>
    <w:rsid w:val="005F6005"/>
    <w:rsid w:val="006064AB"/>
    <w:rsid w:val="00612A67"/>
    <w:rsid w:val="00613C55"/>
    <w:rsid w:val="00613C5A"/>
    <w:rsid w:val="00614C0B"/>
    <w:rsid w:val="00620B0D"/>
    <w:rsid w:val="00622BB5"/>
    <w:rsid w:val="00623C12"/>
    <w:rsid w:val="00651C8A"/>
    <w:rsid w:val="00651F6F"/>
    <w:rsid w:val="00653E27"/>
    <w:rsid w:val="00655345"/>
    <w:rsid w:val="00666F03"/>
    <w:rsid w:val="00672536"/>
    <w:rsid w:val="0067573B"/>
    <w:rsid w:val="00675A37"/>
    <w:rsid w:val="00681EDC"/>
    <w:rsid w:val="0068649F"/>
    <w:rsid w:val="00687189"/>
    <w:rsid w:val="00687CA3"/>
    <w:rsid w:val="00697CCC"/>
    <w:rsid w:val="006B13B7"/>
    <w:rsid w:val="006B2942"/>
    <w:rsid w:val="006B3994"/>
    <w:rsid w:val="006C0E45"/>
    <w:rsid w:val="006D4829"/>
    <w:rsid w:val="006E286A"/>
    <w:rsid w:val="006F03C9"/>
    <w:rsid w:val="006F3B38"/>
    <w:rsid w:val="006F54E6"/>
    <w:rsid w:val="0070525D"/>
    <w:rsid w:val="007137A4"/>
    <w:rsid w:val="00714A9A"/>
    <w:rsid w:val="00726E34"/>
    <w:rsid w:val="00736790"/>
    <w:rsid w:val="00740FEA"/>
    <w:rsid w:val="00741E93"/>
    <w:rsid w:val="0074778B"/>
    <w:rsid w:val="0075439C"/>
    <w:rsid w:val="00764E14"/>
    <w:rsid w:val="00767280"/>
    <w:rsid w:val="0077225E"/>
    <w:rsid w:val="00793F48"/>
    <w:rsid w:val="007A5CDB"/>
    <w:rsid w:val="007B35B2"/>
    <w:rsid w:val="007D1FFF"/>
    <w:rsid w:val="007D42A0"/>
    <w:rsid w:val="007E275C"/>
    <w:rsid w:val="007E685C"/>
    <w:rsid w:val="007F6108"/>
    <w:rsid w:val="007F7097"/>
    <w:rsid w:val="008067A6"/>
    <w:rsid w:val="0082452E"/>
    <w:rsid w:val="008251B3"/>
    <w:rsid w:val="0083238D"/>
    <w:rsid w:val="00843A6F"/>
    <w:rsid w:val="00844F1D"/>
    <w:rsid w:val="0084749F"/>
    <w:rsid w:val="00852303"/>
    <w:rsid w:val="00854C4B"/>
    <w:rsid w:val="00856B86"/>
    <w:rsid w:val="00864202"/>
    <w:rsid w:val="00866257"/>
    <w:rsid w:val="00872B9D"/>
    <w:rsid w:val="0087428A"/>
    <w:rsid w:val="008744BF"/>
    <w:rsid w:val="00881A97"/>
    <w:rsid w:val="008820D1"/>
    <w:rsid w:val="008B5443"/>
    <w:rsid w:val="008C7EEB"/>
    <w:rsid w:val="008D024F"/>
    <w:rsid w:val="008D0DEF"/>
    <w:rsid w:val="008D2256"/>
    <w:rsid w:val="008D35A9"/>
    <w:rsid w:val="008D4EEE"/>
    <w:rsid w:val="008D5E3D"/>
    <w:rsid w:val="008E41D4"/>
    <w:rsid w:val="009008E8"/>
    <w:rsid w:val="00901A89"/>
    <w:rsid w:val="0090737A"/>
    <w:rsid w:val="00911583"/>
    <w:rsid w:val="00954E05"/>
    <w:rsid w:val="0096108C"/>
    <w:rsid w:val="00963BA0"/>
    <w:rsid w:val="00967764"/>
    <w:rsid w:val="009810EE"/>
    <w:rsid w:val="00984CC9"/>
    <w:rsid w:val="009878D9"/>
    <w:rsid w:val="0099233F"/>
    <w:rsid w:val="0099603A"/>
    <w:rsid w:val="009B15AC"/>
    <w:rsid w:val="009B54A0"/>
    <w:rsid w:val="009C6405"/>
    <w:rsid w:val="009D170D"/>
    <w:rsid w:val="00A06F9F"/>
    <w:rsid w:val="00A14C70"/>
    <w:rsid w:val="00A150A6"/>
    <w:rsid w:val="00A2563A"/>
    <w:rsid w:val="00A30799"/>
    <w:rsid w:val="00A4242A"/>
    <w:rsid w:val="00A528F8"/>
    <w:rsid w:val="00A56037"/>
    <w:rsid w:val="00A57754"/>
    <w:rsid w:val="00A57FE8"/>
    <w:rsid w:val="00A6243D"/>
    <w:rsid w:val="00A64ECE"/>
    <w:rsid w:val="00A66185"/>
    <w:rsid w:val="00A705DD"/>
    <w:rsid w:val="00A71CAD"/>
    <w:rsid w:val="00A731A2"/>
    <w:rsid w:val="00A77AF6"/>
    <w:rsid w:val="00A827C1"/>
    <w:rsid w:val="00A90E05"/>
    <w:rsid w:val="00A92216"/>
    <w:rsid w:val="00A93F40"/>
    <w:rsid w:val="00A96F93"/>
    <w:rsid w:val="00AA5D0C"/>
    <w:rsid w:val="00AC6F7B"/>
    <w:rsid w:val="00AD7102"/>
    <w:rsid w:val="00AD7594"/>
    <w:rsid w:val="00AE1FAB"/>
    <w:rsid w:val="00AE2085"/>
    <w:rsid w:val="00AE5772"/>
    <w:rsid w:val="00AF22AD"/>
    <w:rsid w:val="00AF5107"/>
    <w:rsid w:val="00B01812"/>
    <w:rsid w:val="00B06264"/>
    <w:rsid w:val="00B07C8F"/>
    <w:rsid w:val="00B1170E"/>
    <w:rsid w:val="00B21DFB"/>
    <w:rsid w:val="00B24543"/>
    <w:rsid w:val="00B275D4"/>
    <w:rsid w:val="00B3379B"/>
    <w:rsid w:val="00B54011"/>
    <w:rsid w:val="00B60E34"/>
    <w:rsid w:val="00B75051"/>
    <w:rsid w:val="00B859DE"/>
    <w:rsid w:val="00B87768"/>
    <w:rsid w:val="00B902ED"/>
    <w:rsid w:val="00BB6D69"/>
    <w:rsid w:val="00BD0E59"/>
    <w:rsid w:val="00C05423"/>
    <w:rsid w:val="00C12D2F"/>
    <w:rsid w:val="00C277A8"/>
    <w:rsid w:val="00C309AE"/>
    <w:rsid w:val="00C365CE"/>
    <w:rsid w:val="00C417EB"/>
    <w:rsid w:val="00C42695"/>
    <w:rsid w:val="00C528AE"/>
    <w:rsid w:val="00C66B51"/>
    <w:rsid w:val="00CA068D"/>
    <w:rsid w:val="00CA46AF"/>
    <w:rsid w:val="00CB5023"/>
    <w:rsid w:val="00CE45B0"/>
    <w:rsid w:val="00CF53EE"/>
    <w:rsid w:val="00D0014D"/>
    <w:rsid w:val="00D1399D"/>
    <w:rsid w:val="00D155BD"/>
    <w:rsid w:val="00D2140D"/>
    <w:rsid w:val="00D22819"/>
    <w:rsid w:val="00D44433"/>
    <w:rsid w:val="00D44E7F"/>
    <w:rsid w:val="00D47A8C"/>
    <w:rsid w:val="00D511F0"/>
    <w:rsid w:val="00D5202A"/>
    <w:rsid w:val="00D54073"/>
    <w:rsid w:val="00D54EE5"/>
    <w:rsid w:val="00D63F82"/>
    <w:rsid w:val="00D640FC"/>
    <w:rsid w:val="00D6504D"/>
    <w:rsid w:val="00D70ABF"/>
    <w:rsid w:val="00D70F7D"/>
    <w:rsid w:val="00D82120"/>
    <w:rsid w:val="00D91079"/>
    <w:rsid w:val="00D92929"/>
    <w:rsid w:val="00D93C2E"/>
    <w:rsid w:val="00D970A5"/>
    <w:rsid w:val="00DA0969"/>
    <w:rsid w:val="00DB4967"/>
    <w:rsid w:val="00DB5321"/>
    <w:rsid w:val="00DE50CB"/>
    <w:rsid w:val="00DE786D"/>
    <w:rsid w:val="00DE7985"/>
    <w:rsid w:val="00E06DB9"/>
    <w:rsid w:val="00E115E6"/>
    <w:rsid w:val="00E206AE"/>
    <w:rsid w:val="00E22D15"/>
    <w:rsid w:val="00E23397"/>
    <w:rsid w:val="00E32CD7"/>
    <w:rsid w:val="00E402D8"/>
    <w:rsid w:val="00E44EE1"/>
    <w:rsid w:val="00E46987"/>
    <w:rsid w:val="00E5241D"/>
    <w:rsid w:val="00E5680C"/>
    <w:rsid w:val="00E57075"/>
    <w:rsid w:val="00E61A16"/>
    <w:rsid w:val="00E67F5D"/>
    <w:rsid w:val="00E73C11"/>
    <w:rsid w:val="00E75274"/>
    <w:rsid w:val="00E76114"/>
    <w:rsid w:val="00E76267"/>
    <w:rsid w:val="00E879D7"/>
    <w:rsid w:val="00E91E3A"/>
    <w:rsid w:val="00E92C58"/>
    <w:rsid w:val="00EA535B"/>
    <w:rsid w:val="00EB7CD0"/>
    <w:rsid w:val="00EC56CC"/>
    <w:rsid w:val="00EC579D"/>
    <w:rsid w:val="00ED5BDC"/>
    <w:rsid w:val="00ED7DAC"/>
    <w:rsid w:val="00EF0432"/>
    <w:rsid w:val="00EF2D70"/>
    <w:rsid w:val="00F067A6"/>
    <w:rsid w:val="00F11B3C"/>
    <w:rsid w:val="00F15A0D"/>
    <w:rsid w:val="00F15A54"/>
    <w:rsid w:val="00F164F6"/>
    <w:rsid w:val="00F20B25"/>
    <w:rsid w:val="00F30667"/>
    <w:rsid w:val="00F337F8"/>
    <w:rsid w:val="00F53243"/>
    <w:rsid w:val="00F6230E"/>
    <w:rsid w:val="00F70C03"/>
    <w:rsid w:val="00F71068"/>
    <w:rsid w:val="00F74EC2"/>
    <w:rsid w:val="00F830EC"/>
    <w:rsid w:val="00F9084A"/>
    <w:rsid w:val="00F932C0"/>
    <w:rsid w:val="00F96302"/>
    <w:rsid w:val="00FB581F"/>
    <w:rsid w:val="00FB6E40"/>
    <w:rsid w:val="00FC26D1"/>
    <w:rsid w:val="00FC3DFB"/>
    <w:rsid w:val="00FC7297"/>
    <w:rsid w:val="00FD1CCB"/>
    <w:rsid w:val="00FF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91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3127F9"/>
    <w:pPr>
      <w:keepNext/>
      <w:numPr>
        <w:numId w:val="4"/>
      </w:numPr>
      <w:tabs>
        <w:tab w:val="left" w:pos="360"/>
      </w:tabs>
      <w:spacing w:before="240" w:after="120"/>
      <w:ind w:hanging="7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211A2"/>
    <w:pPr>
      <w:spacing w:before="0" w:after="120" w:line="252" w:lineRule="auto"/>
    </w:pPr>
  </w:style>
  <w:style w:type="character" w:customStyle="1" w:styleId="BodyTextChar">
    <w:name w:val="Body Text Char"/>
    <w:basedOn w:val="DefaultParagraphFont"/>
    <w:link w:val="BodyText"/>
    <w:rsid w:val="005211A2"/>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3127F9"/>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0A3E2" w:themeColor="hyperlink"/>
      <w:u w:val="single"/>
    </w:rPr>
  </w:style>
  <w:style w:type="character" w:styleId="IntenseEmphasis">
    <w:name w:val="Intense Emphasis"/>
    <w:basedOn w:val="DefaultParagraphFont"/>
    <w:uiPriority w:val="3"/>
    <w:qFormat/>
    <w:rsid w:val="002F1947"/>
    <w:rPr>
      <w:b/>
      <w:bCs/>
      <w:i/>
      <w:iCs/>
      <w:color w:val="auto"/>
    </w:rPr>
  </w:style>
  <w:style w:type="paragraph" w:styleId="IntenseQuote">
    <w:name w:val="Intense Quote"/>
    <w:basedOn w:val="BodyText"/>
    <w:next w:val="BodyText"/>
    <w:link w:val="IntenseQuoteChar"/>
    <w:uiPriority w:val="3"/>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2"/>
      </w:numPr>
      <w:spacing w:before="60"/>
    </w:pPr>
    <w:rPr>
      <w:lang w:bidi="ar-SA"/>
    </w:rPr>
  </w:style>
  <w:style w:type="paragraph" w:customStyle="1" w:styleId="TableFiguretitle">
    <w:name w:val="Table/Figure title"/>
    <w:basedOn w:val="Heading3"/>
    <w:next w:val="Normal"/>
    <w:rsid w:val="001E5ECF"/>
    <w:pPr>
      <w:spacing w:line="240" w:lineRule="auto"/>
      <w:jc w:val="center"/>
    </w:pPr>
    <w:rPr>
      <w:rFonts w:eastAsia="Times New Roman"/>
      <w:b w:val="0"/>
      <w:iCs/>
      <w:szCs w:val="28"/>
    </w:rPr>
  </w:style>
  <w:style w:type="paragraph" w:styleId="Title">
    <w:name w:val="Title"/>
    <w:basedOn w:val="Normal"/>
    <w:next w:val="Normal"/>
    <w:link w:val="TitleChar"/>
    <w:uiPriority w:val="10"/>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qFormat/>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456A01"/>
    <w:pPr>
      <w:numPr>
        <w:numId w:val="3"/>
      </w:numPr>
      <w:spacing w:before="0" w:after="120" w:line="252"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qFormat/>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basedOn w:val="Normal"/>
    <w:next w:val="Normal"/>
    <w:link w:val="TableH1Char"/>
    <w:uiPriority w:val="3"/>
    <w:qFormat/>
    <w:rsid w:val="0087428A"/>
    <w:pPr>
      <w:tabs>
        <w:tab w:val="left" w:pos="360"/>
        <w:tab w:val="left" w:pos="720"/>
      </w:tabs>
      <w:autoSpaceDE w:val="0"/>
      <w:autoSpaceDN w:val="0"/>
      <w:adjustRightInd w:val="0"/>
      <w:spacing w:before="60" w:after="60" w:line="240" w:lineRule="auto"/>
      <w:jc w:val="center"/>
      <w:textAlignment w:val="center"/>
    </w:pPr>
    <w:rPr>
      <w:rFonts w:cs="Arial"/>
      <w:bCs/>
      <w:color w:val="000000"/>
      <w:szCs w:val="18"/>
    </w:rPr>
  </w:style>
  <w:style w:type="character" w:customStyle="1" w:styleId="TableH1Char">
    <w:name w:val="Table H1 Char"/>
    <w:basedOn w:val="TablebodytextChar"/>
    <w:link w:val="TableH1"/>
    <w:uiPriority w:val="3"/>
    <w:rsid w:val="0087428A"/>
    <w:rPr>
      <w:rFonts w:ascii="Calibri" w:hAnsi="Calibri" w:cs="Arial"/>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DE7985"/>
  </w:style>
  <w:style w:type="character" w:styleId="CommentReference">
    <w:name w:val="annotation reference"/>
    <w:basedOn w:val="DefaultParagraphFont"/>
    <w:uiPriority w:val="99"/>
    <w:semiHidden/>
    <w:unhideWhenUsed/>
    <w:rsid w:val="001529F0"/>
    <w:rPr>
      <w:sz w:val="16"/>
      <w:szCs w:val="16"/>
    </w:rPr>
  </w:style>
  <w:style w:type="paragraph" w:styleId="CommentText">
    <w:name w:val="annotation text"/>
    <w:basedOn w:val="Normal"/>
    <w:link w:val="CommentTextChar"/>
    <w:semiHidden/>
    <w:unhideWhenUsed/>
    <w:rsid w:val="001529F0"/>
    <w:pPr>
      <w:spacing w:line="240" w:lineRule="auto"/>
    </w:pPr>
    <w:rPr>
      <w:sz w:val="20"/>
      <w:szCs w:val="20"/>
    </w:rPr>
  </w:style>
  <w:style w:type="character" w:customStyle="1" w:styleId="CommentTextChar">
    <w:name w:val="Comment Text Char"/>
    <w:basedOn w:val="DefaultParagraphFont"/>
    <w:link w:val="CommentText"/>
    <w:semiHidden/>
    <w:rsid w:val="001529F0"/>
    <w:rPr>
      <w:sz w:val="20"/>
      <w:szCs w:val="20"/>
    </w:rPr>
  </w:style>
  <w:style w:type="paragraph" w:styleId="CommentSubject">
    <w:name w:val="annotation subject"/>
    <w:basedOn w:val="CommentText"/>
    <w:next w:val="CommentText"/>
    <w:link w:val="CommentSubjectChar"/>
    <w:semiHidden/>
    <w:unhideWhenUsed/>
    <w:rsid w:val="001529F0"/>
    <w:rPr>
      <w:b/>
      <w:bCs/>
    </w:rPr>
  </w:style>
  <w:style w:type="character" w:customStyle="1" w:styleId="CommentSubjectChar">
    <w:name w:val="Comment Subject Char"/>
    <w:basedOn w:val="CommentTextChar"/>
    <w:link w:val="CommentSubject"/>
    <w:semiHidden/>
    <w:rsid w:val="001529F0"/>
    <w:rPr>
      <w:b/>
      <w:bCs/>
      <w:sz w:val="20"/>
      <w:szCs w:val="20"/>
    </w:rPr>
  </w:style>
  <w:style w:type="paragraph" w:customStyle="1" w:styleId="BBodytext11">
    <w:name w:val="B Body text 11"/>
    <w:basedOn w:val="Normal"/>
    <w:link w:val="BBodytext11Char"/>
    <w:qFormat/>
    <w:rsid w:val="0067573B"/>
    <w:pPr>
      <w:spacing w:before="0" w:after="120" w:line="252" w:lineRule="auto"/>
    </w:pPr>
    <w:rPr>
      <w:rFonts w:eastAsiaTheme="minorEastAsia" w:cs="Calibri"/>
      <w:lang w:bidi="ar-SA"/>
    </w:rPr>
  </w:style>
  <w:style w:type="character" w:customStyle="1" w:styleId="BBodytext11Char">
    <w:name w:val="B Body text 11 Char"/>
    <w:basedOn w:val="DefaultParagraphFont"/>
    <w:link w:val="BBodytext11"/>
    <w:rsid w:val="0067573B"/>
    <w:rPr>
      <w:rFonts w:eastAsiaTheme="minorEastAsia" w:cs="Calibri"/>
      <w:lang w:bidi="ar-SA"/>
    </w:rPr>
  </w:style>
  <w:style w:type="character" w:styleId="UnresolvedMention">
    <w:name w:val="Unresolved Mention"/>
    <w:basedOn w:val="DefaultParagraphFont"/>
    <w:uiPriority w:val="99"/>
    <w:semiHidden/>
    <w:unhideWhenUsed/>
    <w:rsid w:val="00242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ws.gov/midwest/Endangered/insects/rpbb/rpbbmap.html"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n.gov/admin/assets/grants_policy_08-06_tcm36-207113.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wsr.state.mn.us/allowable-and-unallowable-cost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xerces.org/wp-content/uploads/2018/03/2018-002_Organic-Site-Preparation-Methods_web3pg.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E032D-CCE6-4F05-A573-FAEA3C82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6424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Procedure Template</vt:lpstr>
    </vt:vector>
  </TitlesOfParts>
  <Manager/>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Procedure</dc:subject>
  <dc:creator/>
  <cp:keywords>template procedure</cp:keywords>
  <cp:lastModifiedBy/>
  <cp:revision>1</cp:revision>
  <dcterms:created xsi:type="dcterms:W3CDTF">2019-10-24T12:44:00Z</dcterms:created>
  <dcterms:modified xsi:type="dcterms:W3CDTF">2019-10-24T12:44:00Z</dcterms:modified>
  <cp:category>template</cp:category>
  <cp:contentStatus>active</cp:contentStatus>
</cp:coreProperties>
</file>