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b w:val="0"/>
          <w:color w:val="auto"/>
          <w:sz w:val="22"/>
          <w:szCs w:val="22"/>
          <w:lang w:bidi="ar-SA"/>
        </w:rPr>
        <w:id w:val="10729564"/>
        <w:docPartObj>
          <w:docPartGallery w:val="Cover Pages"/>
          <w:docPartUnique/>
        </w:docPartObj>
      </w:sdtPr>
      <w:sdtEndPr>
        <w:rPr>
          <w:rFonts w:ascii="Calibri" w:hAnsi="Calibri"/>
          <w:sz w:val="2"/>
        </w:rPr>
      </w:sdtEndPr>
      <w:sdtContent>
        <w:p w14:paraId="77281E8A" w14:textId="117DF105" w:rsidR="00726575" w:rsidRPr="00726575" w:rsidRDefault="00726575" w:rsidP="00987820">
          <w:pPr>
            <w:pStyle w:val="Heading1"/>
            <w:spacing w:after="0" w:line="276" w:lineRule="auto"/>
            <w:rPr>
              <w:rFonts w:asciiTheme="minorHAnsi" w:hAnsiTheme="minorHAnsi"/>
              <w:b w:val="0"/>
              <w:color w:val="auto"/>
              <w:sz w:val="22"/>
              <w:szCs w:val="22"/>
              <w:lang w:bidi="ar-SA"/>
            </w:rPr>
          </w:pPr>
        </w:p>
        <w:p w14:paraId="592880B4" w14:textId="1ACA6D77" w:rsidR="00143214" w:rsidRPr="00175C53" w:rsidRDefault="008F23CD" w:rsidP="00B15C38">
          <w:pPr>
            <w:pStyle w:val="Heading1"/>
            <w:spacing w:before="0" w:after="0" w:line="22" w:lineRule="atLeast"/>
            <w:jc w:val="center"/>
            <w:rPr>
              <w:color w:val="003865" w:themeColor="text1"/>
              <w:sz w:val="44"/>
              <w:lang w:bidi="ar-SA"/>
            </w:rPr>
          </w:pPr>
          <w:r>
            <w:rPr>
              <w:color w:val="003865" w:themeColor="text1"/>
              <w:sz w:val="44"/>
              <w:lang w:bidi="ar-SA"/>
            </w:rPr>
            <w:t>Lawns to Legumes Demonstration Neighborhood Grants Program</w:t>
          </w:r>
        </w:p>
        <w:p w14:paraId="01DE5AE0" w14:textId="77777777" w:rsidR="00BE3444" w:rsidRPr="00175C53" w:rsidRDefault="00143214" w:rsidP="00987820">
          <w:pPr>
            <w:pStyle w:val="Heading1"/>
            <w:spacing w:before="0" w:after="0" w:line="22" w:lineRule="atLeast"/>
            <w:jc w:val="center"/>
            <w:rPr>
              <w:b w:val="0"/>
              <w:color w:val="003865" w:themeColor="text1"/>
              <w:sz w:val="36"/>
              <w:lang w:bidi="ar-SA"/>
            </w:rPr>
          </w:pPr>
          <w:r w:rsidRPr="00175C53">
            <w:rPr>
              <w:b w:val="0"/>
              <w:color w:val="003865" w:themeColor="text1"/>
              <w:sz w:val="36"/>
              <w:lang w:bidi="ar-SA"/>
            </w:rPr>
            <w:t>Request for Proposals</w:t>
          </w:r>
        </w:p>
        <w:p w14:paraId="4A5102EA" w14:textId="3C88BE2F" w:rsidR="00BE3444" w:rsidRDefault="00786303" w:rsidP="00864005">
          <w:pPr>
            <w:pStyle w:val="Heading2"/>
          </w:pPr>
          <w:r w:rsidRPr="00864005">
            <w:t>General Information</w:t>
          </w:r>
          <w:r w:rsidR="00E929BC" w:rsidRPr="00864005">
            <w:t xml:space="preserve"> </w:t>
          </w:r>
        </w:p>
        <w:p w14:paraId="174A71CF" w14:textId="02E9F5E4" w:rsidR="00B76F06" w:rsidRPr="00B76F06" w:rsidRDefault="00990838" w:rsidP="008F23CD">
          <w:r>
            <w:rPr>
              <w:rFonts w:asciiTheme="minorHAnsi" w:hAnsiTheme="minorHAnsi"/>
            </w:rPr>
            <w:t xml:space="preserve">This new grant program is made possible through an appropriation from the Environment and Natural Resources Trust Fund (ENRTF), aimed at increasing the populations of rusty patched bumble bees and other at-risk pollinators. This will be achieved through efforts to </w:t>
          </w:r>
          <w:r w:rsidR="0071453E">
            <w:rPr>
              <w:rFonts w:asciiTheme="minorHAnsi" w:hAnsiTheme="minorHAnsi"/>
            </w:rPr>
            <w:t>establish residential pollinator habitat within neighborhoods in im</w:t>
          </w:r>
          <w:r>
            <w:rPr>
              <w:rFonts w:asciiTheme="minorHAnsi" w:hAnsiTheme="minorHAnsi"/>
            </w:rPr>
            <w:t xml:space="preserve">portant pollinator corridors/pathways </w:t>
          </w:r>
          <w:r w:rsidR="0071453E">
            <w:rPr>
              <w:rFonts w:asciiTheme="minorHAnsi" w:hAnsiTheme="minorHAnsi"/>
            </w:rPr>
            <w:t xml:space="preserve">and </w:t>
          </w:r>
          <w:r>
            <w:rPr>
              <w:rFonts w:asciiTheme="minorHAnsi" w:hAnsiTheme="minorHAnsi"/>
            </w:rPr>
            <w:t>build</w:t>
          </w:r>
          <w:r w:rsidR="0071453E">
            <w:rPr>
              <w:rFonts w:asciiTheme="minorHAnsi" w:hAnsiTheme="minorHAnsi"/>
            </w:rPr>
            <w:t xml:space="preserve">ing </w:t>
          </w:r>
          <w:r>
            <w:rPr>
              <w:rFonts w:asciiTheme="minorHAnsi" w:hAnsiTheme="minorHAnsi"/>
            </w:rPr>
            <w:t>overall interest in ecological landscaping. $</w:t>
          </w:r>
          <w:r w:rsidR="007C3221">
            <w:rPr>
              <w:rFonts w:asciiTheme="minorHAnsi" w:hAnsiTheme="minorHAnsi"/>
            </w:rPr>
            <w:t>4</w:t>
          </w:r>
          <w:r w:rsidR="00D83159">
            <w:rPr>
              <w:rFonts w:asciiTheme="minorHAnsi" w:hAnsiTheme="minorHAnsi"/>
            </w:rPr>
            <w:t>50,000</w:t>
          </w:r>
          <w:r>
            <w:rPr>
              <w:rFonts w:asciiTheme="minorHAnsi" w:hAnsiTheme="minorHAnsi"/>
            </w:rPr>
            <w:t xml:space="preserve"> is available for Fiscal Year 2020</w:t>
          </w:r>
          <w:r w:rsidR="0071453E">
            <w:rPr>
              <w:rFonts w:asciiTheme="minorHAnsi" w:hAnsiTheme="minorHAnsi"/>
            </w:rPr>
            <w:t>.</w:t>
          </w:r>
          <w:r>
            <w:rPr>
              <w:rFonts w:asciiTheme="minorHAnsi" w:hAnsiTheme="minorHAnsi"/>
            </w:rPr>
            <w:t xml:space="preserve"> </w:t>
          </w:r>
          <w:r w:rsidR="005208C1">
            <w:rPr>
              <w:rFonts w:asciiTheme="minorHAnsi" w:hAnsiTheme="minorHAnsi"/>
            </w:rPr>
            <w:t>Grant awards will be for a minimum of $20,000 and a maximum of $40,000.</w:t>
          </w:r>
          <w:r w:rsidR="002744E8">
            <w:rPr>
              <w:rFonts w:asciiTheme="minorHAnsi" w:hAnsiTheme="minorHAnsi"/>
            </w:rPr>
            <w:t xml:space="preserve"> Smaller grant awards may be considered if </w:t>
          </w:r>
          <w:r w:rsidR="00E10A59">
            <w:rPr>
              <w:rFonts w:asciiTheme="minorHAnsi" w:hAnsiTheme="minorHAnsi"/>
            </w:rPr>
            <w:t>combined with</w:t>
          </w:r>
          <w:r w:rsidR="008D4C74">
            <w:rPr>
              <w:rFonts w:asciiTheme="minorHAnsi" w:hAnsiTheme="minorHAnsi"/>
            </w:rPr>
            <w:t xml:space="preserve"> </w:t>
          </w:r>
          <w:r w:rsidR="002744E8">
            <w:rPr>
              <w:rFonts w:asciiTheme="minorHAnsi" w:hAnsiTheme="minorHAnsi"/>
            </w:rPr>
            <w:t>other sources of</w:t>
          </w:r>
          <w:r w:rsidR="008D4C74">
            <w:rPr>
              <w:rFonts w:asciiTheme="minorHAnsi" w:hAnsiTheme="minorHAnsi"/>
            </w:rPr>
            <w:t xml:space="preserve"> verifiable</w:t>
          </w:r>
          <w:r w:rsidR="002744E8">
            <w:rPr>
              <w:rFonts w:asciiTheme="minorHAnsi" w:hAnsiTheme="minorHAnsi"/>
            </w:rPr>
            <w:t xml:space="preserve"> funds </w:t>
          </w:r>
          <w:r w:rsidR="00E10A59">
            <w:rPr>
              <w:rFonts w:asciiTheme="minorHAnsi" w:hAnsiTheme="minorHAnsi"/>
            </w:rPr>
            <w:t>that creates a total project size that is at least $20,000</w:t>
          </w:r>
          <w:r w:rsidR="002744E8">
            <w:rPr>
              <w:rFonts w:asciiTheme="minorHAnsi" w:hAnsiTheme="minorHAnsi"/>
            </w:rPr>
            <w:t>.</w:t>
          </w:r>
        </w:p>
        <w:p w14:paraId="1995E4F2" w14:textId="791E4728" w:rsidR="00B76F06" w:rsidRDefault="00C45854" w:rsidP="008F23CD">
          <w:pPr>
            <w:pStyle w:val="Heading2"/>
          </w:pPr>
          <w:r>
            <w:t>Who May Apply</w:t>
          </w:r>
        </w:p>
        <w:p w14:paraId="3ECDE75D" w14:textId="2F64DFFA" w:rsidR="008F23CD" w:rsidRPr="00134D00" w:rsidRDefault="008F23CD" w:rsidP="008F23CD">
          <w:pPr>
            <w:pStyle w:val="ListParagraph"/>
            <w:numPr>
              <w:ilvl w:val="0"/>
              <w:numId w:val="19"/>
            </w:numPr>
            <w:rPr>
              <w:rFonts w:asciiTheme="minorHAnsi" w:hAnsiTheme="minorHAnsi"/>
              <w:sz w:val="22"/>
            </w:rPr>
          </w:pPr>
          <w:r w:rsidRPr="00134D00">
            <w:rPr>
              <w:rFonts w:asciiTheme="minorHAnsi" w:hAnsiTheme="minorHAnsi"/>
              <w:sz w:val="22"/>
            </w:rPr>
            <w:t>Cities</w:t>
          </w:r>
        </w:p>
        <w:p w14:paraId="4BF13550" w14:textId="3EF06A26" w:rsidR="008F23CD" w:rsidRPr="00134D00" w:rsidRDefault="008F23CD" w:rsidP="008F23CD">
          <w:pPr>
            <w:pStyle w:val="ListParagraph"/>
            <w:numPr>
              <w:ilvl w:val="0"/>
              <w:numId w:val="19"/>
            </w:numPr>
            <w:rPr>
              <w:rFonts w:asciiTheme="minorHAnsi" w:hAnsiTheme="minorHAnsi"/>
              <w:sz w:val="22"/>
            </w:rPr>
          </w:pPr>
          <w:r w:rsidRPr="00134D00">
            <w:rPr>
              <w:rFonts w:asciiTheme="minorHAnsi" w:hAnsiTheme="minorHAnsi"/>
              <w:sz w:val="22"/>
            </w:rPr>
            <w:t>Counties</w:t>
          </w:r>
        </w:p>
        <w:p w14:paraId="2825101E" w14:textId="3B54B27F" w:rsidR="008F23CD" w:rsidRPr="00134D00" w:rsidRDefault="008F23CD" w:rsidP="008F23CD">
          <w:pPr>
            <w:pStyle w:val="ListParagraph"/>
            <w:numPr>
              <w:ilvl w:val="0"/>
              <w:numId w:val="19"/>
            </w:numPr>
            <w:rPr>
              <w:rFonts w:asciiTheme="minorHAnsi" w:hAnsiTheme="minorHAnsi"/>
              <w:sz w:val="22"/>
            </w:rPr>
          </w:pPr>
          <w:r w:rsidRPr="00134D00">
            <w:rPr>
              <w:rFonts w:asciiTheme="minorHAnsi" w:hAnsiTheme="minorHAnsi"/>
              <w:sz w:val="22"/>
            </w:rPr>
            <w:t>Watershed Districts</w:t>
          </w:r>
        </w:p>
        <w:p w14:paraId="3B509066" w14:textId="3810EE93" w:rsidR="008F23CD" w:rsidRPr="00134D00" w:rsidRDefault="008F23CD" w:rsidP="008F23CD">
          <w:pPr>
            <w:pStyle w:val="ListParagraph"/>
            <w:numPr>
              <w:ilvl w:val="0"/>
              <w:numId w:val="19"/>
            </w:numPr>
            <w:rPr>
              <w:rFonts w:asciiTheme="minorHAnsi" w:hAnsiTheme="minorHAnsi"/>
              <w:sz w:val="22"/>
            </w:rPr>
          </w:pPr>
          <w:r w:rsidRPr="00134D00">
            <w:rPr>
              <w:rFonts w:asciiTheme="minorHAnsi" w:hAnsiTheme="minorHAnsi"/>
              <w:sz w:val="22"/>
            </w:rPr>
            <w:t>Soil and Water Conservation Districts</w:t>
          </w:r>
        </w:p>
        <w:p w14:paraId="7C9D44E1" w14:textId="67566126" w:rsidR="008F23CD" w:rsidRPr="00134D00" w:rsidRDefault="008F23CD" w:rsidP="008F23CD">
          <w:pPr>
            <w:pStyle w:val="ListParagraph"/>
            <w:numPr>
              <w:ilvl w:val="0"/>
              <w:numId w:val="19"/>
            </w:numPr>
            <w:rPr>
              <w:rFonts w:asciiTheme="minorHAnsi" w:hAnsiTheme="minorHAnsi"/>
              <w:sz w:val="22"/>
            </w:rPr>
          </w:pPr>
          <w:r w:rsidRPr="00134D00">
            <w:rPr>
              <w:rFonts w:asciiTheme="minorHAnsi" w:hAnsiTheme="minorHAnsi"/>
              <w:sz w:val="22"/>
            </w:rPr>
            <w:t>Non</w:t>
          </w:r>
          <w:r w:rsidR="00AE7219">
            <w:rPr>
              <w:rFonts w:asciiTheme="minorHAnsi" w:hAnsiTheme="minorHAnsi"/>
              <w:sz w:val="22"/>
            </w:rPr>
            <w:t>governmental</w:t>
          </w:r>
          <w:r w:rsidRPr="00134D00">
            <w:rPr>
              <w:rFonts w:asciiTheme="minorHAnsi" w:hAnsiTheme="minorHAnsi"/>
              <w:sz w:val="22"/>
            </w:rPr>
            <w:t xml:space="preserve"> </w:t>
          </w:r>
          <w:r w:rsidR="00BB6F5D">
            <w:rPr>
              <w:rFonts w:asciiTheme="minorHAnsi" w:hAnsiTheme="minorHAnsi"/>
              <w:sz w:val="22"/>
            </w:rPr>
            <w:t>O</w:t>
          </w:r>
          <w:r w:rsidRPr="00134D00">
            <w:rPr>
              <w:rFonts w:asciiTheme="minorHAnsi" w:hAnsiTheme="minorHAnsi"/>
              <w:sz w:val="22"/>
            </w:rPr>
            <w:t>rganizations</w:t>
          </w:r>
        </w:p>
        <w:p w14:paraId="66B6BDAA" w14:textId="023DFDA2" w:rsidR="008F23CD" w:rsidRPr="00134D00" w:rsidRDefault="008F23CD" w:rsidP="008F23CD">
          <w:pPr>
            <w:pStyle w:val="ListParagraph"/>
            <w:numPr>
              <w:ilvl w:val="0"/>
              <w:numId w:val="19"/>
            </w:numPr>
            <w:rPr>
              <w:rFonts w:asciiTheme="minorHAnsi" w:hAnsiTheme="minorHAnsi"/>
              <w:sz w:val="22"/>
            </w:rPr>
          </w:pPr>
          <w:r w:rsidRPr="00134D00">
            <w:rPr>
              <w:rFonts w:asciiTheme="minorHAnsi" w:hAnsiTheme="minorHAnsi"/>
              <w:sz w:val="22"/>
            </w:rPr>
            <w:t>Tribal Governments</w:t>
          </w:r>
        </w:p>
        <w:p w14:paraId="1F37E1AE" w14:textId="461503C5" w:rsidR="007E2D59" w:rsidRPr="007E2D59" w:rsidRDefault="00990838" w:rsidP="007E2D59">
          <w:pPr>
            <w:rPr>
              <w:rFonts w:asciiTheme="minorHAnsi" w:hAnsiTheme="minorHAnsi"/>
            </w:rPr>
          </w:pPr>
          <w:r>
            <w:rPr>
              <w:rFonts w:asciiTheme="minorHAnsi" w:hAnsiTheme="minorHAnsi"/>
            </w:rPr>
            <w:t xml:space="preserve">Applicants must be able to </w:t>
          </w:r>
          <w:r w:rsidR="007E2D59">
            <w:rPr>
              <w:rFonts w:asciiTheme="minorHAnsi" w:hAnsiTheme="minorHAnsi"/>
            </w:rPr>
            <w:t>comply with the Lawns to Legumes Demonstration Neighborhood Program Policy.</w:t>
          </w:r>
        </w:p>
        <w:p w14:paraId="55A9698B" w14:textId="77777777" w:rsidR="00186DD8" w:rsidRDefault="00186DD8" w:rsidP="00186DD8">
          <w:pPr>
            <w:pStyle w:val="Heading2"/>
          </w:pPr>
          <w:r>
            <w:t>Eligibility Criteria</w:t>
          </w:r>
        </w:p>
        <w:p w14:paraId="073ED340" w14:textId="2F3E8072" w:rsidR="005208C1" w:rsidRDefault="00186DD8" w:rsidP="00186DD8">
          <w:pPr>
            <w:rPr>
              <w:rFonts w:asciiTheme="minorHAnsi" w:hAnsiTheme="minorHAnsi"/>
            </w:rPr>
          </w:pPr>
          <w:r>
            <w:rPr>
              <w:rFonts w:asciiTheme="minorHAnsi" w:hAnsiTheme="minorHAnsi"/>
            </w:rPr>
            <w:t xml:space="preserve">Eligible landscapes must be residential </w:t>
          </w:r>
          <w:proofErr w:type="gramStart"/>
          <w:r>
            <w:rPr>
              <w:rFonts w:asciiTheme="minorHAnsi" w:hAnsiTheme="minorHAnsi"/>
            </w:rPr>
            <w:t>yards</w:t>
          </w:r>
          <w:proofErr w:type="gramEnd"/>
          <w:r w:rsidR="0071453E">
            <w:rPr>
              <w:rFonts w:asciiTheme="minorHAnsi" w:hAnsiTheme="minorHAnsi"/>
            </w:rPr>
            <w:t xml:space="preserve"> but the scale and density of “neighborhoods” can be determined by the applicant</w:t>
          </w:r>
          <w:r>
            <w:rPr>
              <w:rFonts w:asciiTheme="minorHAnsi" w:hAnsiTheme="minorHAnsi"/>
            </w:rPr>
            <w:t xml:space="preserve">. </w:t>
          </w:r>
          <w:r w:rsidR="00134D00">
            <w:rPr>
              <w:rFonts w:asciiTheme="minorHAnsi" w:hAnsiTheme="minorHAnsi"/>
            </w:rPr>
            <w:t xml:space="preserve"> </w:t>
          </w:r>
        </w:p>
        <w:p w14:paraId="570A8955" w14:textId="7AC8AD7B" w:rsidR="00186DD8" w:rsidRDefault="00186DD8" w:rsidP="00186DD8">
          <w:pPr>
            <w:pStyle w:val="BodyText"/>
          </w:pPr>
          <w:r>
            <w:t xml:space="preserve">A minimum non-state match equal to at least 25% of the amount requested and/or received is required, except in areas identified by the United State Fish and Wildlife Service as areas where there is a high potential for rusty patched bumble bees to be present, where only a 10% match is required. </w:t>
          </w:r>
          <w:r w:rsidR="004F4241">
            <w:t xml:space="preserve">The linked </w:t>
          </w:r>
          <w:hyperlink r:id="rId8" w:history="1">
            <w:r w:rsidR="004F4241" w:rsidRPr="00A43F70">
              <w:rPr>
                <w:rStyle w:val="Hyperlink"/>
              </w:rPr>
              <w:t>map</w:t>
            </w:r>
          </w:hyperlink>
          <w:bookmarkStart w:id="0" w:name="_GoBack"/>
          <w:bookmarkEnd w:id="0"/>
          <w:r w:rsidR="004F4241">
            <w:t xml:space="preserve"> provides locations for high potential for rusty patched bumble bees to be present. </w:t>
          </w:r>
          <w:r>
            <w:t xml:space="preserve">The match must be cash or in-kind cash value of goods, materials, and services directly attributed to project accomplishments. </w:t>
          </w:r>
        </w:p>
        <w:p w14:paraId="08949C63" w14:textId="53441EB5" w:rsidR="00FC5B76" w:rsidRDefault="00FC5B76" w:rsidP="00B76F06">
          <w:pPr>
            <w:pStyle w:val="Heading2"/>
          </w:pPr>
          <w:r>
            <w:t>To Apply</w:t>
          </w:r>
        </w:p>
        <w:p w14:paraId="5FD1FDD6" w14:textId="56ED135D" w:rsidR="00186DD8" w:rsidRDefault="00186DD8" w:rsidP="00FC5B76">
          <w:pPr>
            <w:pStyle w:val="BodyText"/>
          </w:pPr>
          <w:r>
            <w:t>Applications need to be submitted via eLINK</w:t>
          </w:r>
          <w:proofErr w:type="gramStart"/>
          <w:r>
            <w:t xml:space="preserve">. </w:t>
          </w:r>
          <w:r w:rsidR="005C267D">
            <w:t>.</w:t>
          </w:r>
          <w:proofErr w:type="gramEnd"/>
          <w:r w:rsidR="005C267D">
            <w:t xml:space="preserve"> Eligible applicants without a current eLINK user account must submit a request at </w:t>
          </w:r>
          <w:hyperlink r:id="rId9" w:history="1">
            <w:r w:rsidR="00CA4257" w:rsidRPr="000F6410">
              <w:rPr>
                <w:rStyle w:val="Hyperlink"/>
              </w:rPr>
              <w:t>https://apps.bwsr.state.mn.us/elink/Account/Register</w:t>
            </w:r>
          </w:hyperlink>
          <w:r w:rsidR="005C267D">
            <w:t xml:space="preserve"> to establish an eLINK account </w:t>
          </w:r>
          <w:r w:rsidR="005C267D">
            <w:rPr>
              <w:b/>
              <w:i/>
            </w:rPr>
            <w:t xml:space="preserve">no </w:t>
          </w:r>
          <w:r w:rsidR="005C267D">
            <w:rPr>
              <w:b/>
              <w:i/>
            </w:rPr>
            <w:lastRenderedPageBreak/>
            <w:t>later than 7 days prior to the application deadline</w:t>
          </w:r>
          <w:r w:rsidR="00D82C80">
            <w:rPr>
              <w:b/>
              <w:i/>
            </w:rPr>
            <w:t xml:space="preserve"> </w:t>
          </w:r>
          <w:r w:rsidR="00D82C80">
            <w:t>in order to ensure sufficient time to create an account</w:t>
          </w:r>
          <w:r>
            <w:rPr>
              <w:b/>
              <w:i/>
            </w:rPr>
            <w:t xml:space="preserve">. </w:t>
          </w:r>
          <w:r>
            <w:t>As part of the application, eLINK will require applicants to map the location of the proposed project area</w:t>
          </w:r>
          <w:r w:rsidR="00734F50">
            <w:t>(s)</w:t>
          </w:r>
          <w:r>
            <w:t xml:space="preserve">. </w:t>
          </w:r>
        </w:p>
        <w:p w14:paraId="00D01A0C" w14:textId="2F859591" w:rsidR="00F64EBA" w:rsidRDefault="00F64EBA" w:rsidP="00F64EBA">
          <w:pPr>
            <w:pStyle w:val="BodyText"/>
          </w:pPr>
          <w:r>
            <w:t>The following are the application questions to be filled out in eLINK:</w:t>
          </w:r>
        </w:p>
        <w:p w14:paraId="4A83DCEE" w14:textId="22581238" w:rsidR="00F64EBA" w:rsidRDefault="00F64EBA" w:rsidP="00F64EBA">
          <w:pPr>
            <w:pStyle w:val="ListParagraph"/>
            <w:numPr>
              <w:ilvl w:val="0"/>
              <w:numId w:val="23"/>
            </w:numPr>
          </w:pPr>
          <w:r>
            <w:t>Describe if and how your project’s location will benefit the Rusty Patched Bumble Bee.</w:t>
          </w:r>
        </w:p>
        <w:p w14:paraId="3FBF747F" w14:textId="27BFAEC9" w:rsidR="00F64EBA" w:rsidRDefault="00F64EBA" w:rsidP="00F64EBA">
          <w:pPr>
            <w:pStyle w:val="ListParagraph"/>
            <w:numPr>
              <w:ilvl w:val="0"/>
              <w:numId w:val="23"/>
            </w:numPr>
          </w:pPr>
          <w:r>
            <w:t>Discuss your projects connection to statewide and local habitat corridors/pathways or areas mapped as important for pollinator habitat.</w:t>
          </w:r>
        </w:p>
        <w:p w14:paraId="2EE50FDE" w14:textId="7FA11095" w:rsidR="00F64EBA" w:rsidRDefault="00F64EBA" w:rsidP="00F64EBA">
          <w:pPr>
            <w:pStyle w:val="ListParagraph"/>
            <w:numPr>
              <w:ilvl w:val="0"/>
              <w:numId w:val="23"/>
            </w:numPr>
          </w:pPr>
          <w:r>
            <w:t>Describe your projects value to other at-risk pollinators beyond the Rusty Patched Bumble Bee.</w:t>
          </w:r>
        </w:p>
        <w:p w14:paraId="249E886C" w14:textId="610633D7" w:rsidR="00F64EBA" w:rsidRDefault="00F64EBA" w:rsidP="00F64EBA">
          <w:pPr>
            <w:pStyle w:val="ListParagraph"/>
            <w:numPr>
              <w:ilvl w:val="0"/>
              <w:numId w:val="23"/>
            </w:numPr>
          </w:pPr>
          <w:r>
            <w:t>How will partnerships be established or strengthened as part of the demonstration neighborhood?</w:t>
          </w:r>
        </w:p>
        <w:p w14:paraId="70E469BA" w14:textId="45FFA7EE" w:rsidR="00F64EBA" w:rsidRDefault="00F64EBA" w:rsidP="00F64EBA">
          <w:pPr>
            <w:pStyle w:val="ListParagraph"/>
            <w:numPr>
              <w:ilvl w:val="0"/>
              <w:numId w:val="23"/>
            </w:numPr>
          </w:pPr>
          <w:r>
            <w:t>Discus the technical expertise of applicants and partners that will be involved with assisting landowners.</w:t>
          </w:r>
        </w:p>
        <w:p w14:paraId="05B90441" w14:textId="7BDA33B8" w:rsidR="00F64EBA" w:rsidRDefault="00F64EBA" w:rsidP="00F64EBA">
          <w:pPr>
            <w:pStyle w:val="ListParagraph"/>
            <w:numPr>
              <w:ilvl w:val="0"/>
              <w:numId w:val="23"/>
            </w:numPr>
          </w:pPr>
          <w:r>
            <w:t>What are your plans for the long-term planning/maintenance/sustainability of projects, including protection from pesticide exposure?</w:t>
          </w:r>
        </w:p>
        <w:p w14:paraId="25E4D282" w14:textId="7CFF0703" w:rsidR="00F64EBA" w:rsidRDefault="00F64EBA" w:rsidP="00F64EBA">
          <w:pPr>
            <w:pStyle w:val="ListParagraph"/>
            <w:numPr>
              <w:ilvl w:val="0"/>
              <w:numId w:val="23"/>
            </w:numPr>
          </w:pPr>
          <w:r>
            <w:t>Discuss the potential to incorporate several project types into the demonstration neighborhood such as pollinator beneficial trees and shrubs, pollinator lawns, pollinator meadows and native pocket plantings that are encouraged for the program.</w:t>
          </w:r>
        </w:p>
        <w:p w14:paraId="566C9519" w14:textId="5EBCF0F4" w:rsidR="00F64EBA" w:rsidRDefault="00F64EBA" w:rsidP="00F64EBA">
          <w:pPr>
            <w:pStyle w:val="ListParagraph"/>
            <w:numPr>
              <w:ilvl w:val="0"/>
              <w:numId w:val="23"/>
            </w:numPr>
          </w:pPr>
          <w:r>
            <w:t>Explain the anticipated outcomes upon completion of the project and how these outcomes will be obtained.</w:t>
          </w:r>
        </w:p>
        <w:p w14:paraId="2F10C3B9" w14:textId="77777777" w:rsidR="00906145" w:rsidRDefault="00906145" w:rsidP="00906145">
          <w:pPr>
            <w:pStyle w:val="BodyText"/>
          </w:pPr>
          <w:r>
            <w:t>Applicants will be required to fill out a project budget summarizing proposed activities and expenditures including technical and administrative costs.</w:t>
          </w:r>
        </w:p>
        <w:p w14:paraId="168B57E5" w14:textId="451F641F" w:rsidR="00804BA2" w:rsidRDefault="00804BA2" w:rsidP="00906145">
          <w:pPr>
            <w:pStyle w:val="BodyText"/>
          </w:pPr>
          <w:r>
            <w:t xml:space="preserve">Applicants </w:t>
          </w:r>
          <w:r w:rsidR="00326101">
            <w:t>may</w:t>
          </w:r>
          <w:r>
            <w:t xml:space="preserve"> be required to submit a</w:t>
          </w:r>
          <w:r w:rsidR="00166199">
            <w:t>n</w:t>
          </w:r>
          <w:r>
            <w:t xml:space="preserve"> internal financial statement, a certified financial audit, or an IRS Form 990, if such documentation is not already on file with the Board. </w:t>
          </w:r>
        </w:p>
        <w:p w14:paraId="7F24D12B" w14:textId="06D2E29F" w:rsidR="00FC5B76" w:rsidRDefault="00FC5B76" w:rsidP="00FC5B76">
          <w:pPr>
            <w:pStyle w:val="BodyText"/>
          </w:pPr>
          <w:r>
            <w:t xml:space="preserve">Proposals </w:t>
          </w:r>
          <w:r w:rsidR="007E5C77">
            <w:t xml:space="preserve">must </w:t>
          </w:r>
          <w:r>
            <w:t>include one image file</w:t>
          </w:r>
          <w:r w:rsidR="007E5C77">
            <w:t xml:space="preserve"> of the project area in relation to the priority zones</w:t>
          </w:r>
          <w:r>
            <w:t xml:space="preserve"> (.jpg, .tiff, .png) as an Application Image in eLINK. General attachments will not show up as a part of the application report in eLINK</w:t>
          </w:r>
          <w:r w:rsidR="00186DD8">
            <w:t>.</w:t>
          </w:r>
        </w:p>
        <w:p w14:paraId="5D2CD471" w14:textId="669850FE" w:rsidR="003F1B96" w:rsidRPr="00F07E20" w:rsidRDefault="008524FA" w:rsidP="00F07E20">
          <w:pPr>
            <w:pStyle w:val="Heading2"/>
          </w:pPr>
          <w:r>
            <w:t>Evaluation and Selection</w:t>
          </w:r>
        </w:p>
        <w:tbl>
          <w:tblPr>
            <w:tblW w:w="978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4"/>
            <w:gridCol w:w="1148"/>
          </w:tblGrid>
          <w:tr w:rsidR="00180BF3" w:rsidRPr="006221AB" w14:paraId="7AB19A03" w14:textId="77777777" w:rsidTr="003F1B96">
            <w:trPr>
              <w:trHeight w:hRule="exact" w:val="360"/>
            </w:trPr>
            <w:tc>
              <w:tcPr>
                <w:tcW w:w="9782" w:type="dxa"/>
                <w:gridSpan w:val="2"/>
              </w:tcPr>
              <w:p w14:paraId="62A8A43D" w14:textId="5F2445B8" w:rsidR="00180BF3" w:rsidRPr="006221AB" w:rsidRDefault="00180BF3" w:rsidP="007E2D59">
                <w:pPr>
                  <w:spacing w:before="0"/>
                  <w:rPr>
                    <w:rFonts w:asciiTheme="minorHAnsi" w:hAnsiTheme="minorHAnsi"/>
                    <w:b/>
                  </w:rPr>
                </w:pPr>
                <w:r w:rsidRPr="006221AB">
                  <w:rPr>
                    <w:rFonts w:asciiTheme="minorHAnsi" w:hAnsiTheme="minorHAnsi"/>
                    <w:b/>
                  </w:rPr>
                  <w:t xml:space="preserve">Table 1:  </w:t>
                </w:r>
                <w:r w:rsidR="007E2D59">
                  <w:rPr>
                    <w:rFonts w:asciiTheme="minorHAnsi" w:hAnsiTheme="minorHAnsi"/>
                    <w:b/>
                  </w:rPr>
                  <w:t>Lawns to Legumes Demonstration Neighborhood</w:t>
                </w:r>
                <w:r w:rsidRPr="006221AB">
                  <w:rPr>
                    <w:rFonts w:asciiTheme="minorHAnsi" w:hAnsiTheme="minorHAnsi"/>
                    <w:b/>
                  </w:rPr>
                  <w:t xml:space="preserve"> Program Ranking Criteria</w:t>
                </w:r>
              </w:p>
            </w:tc>
          </w:tr>
          <w:tr w:rsidR="00180BF3" w:rsidRPr="006221AB" w14:paraId="308AEF13" w14:textId="77777777" w:rsidTr="0021062E">
            <w:trPr>
              <w:trHeight w:hRule="exact" w:val="613"/>
            </w:trPr>
            <w:tc>
              <w:tcPr>
                <w:tcW w:w="8634" w:type="dxa"/>
              </w:tcPr>
              <w:p w14:paraId="49787140" w14:textId="77777777" w:rsidR="00180BF3" w:rsidRPr="006221AB" w:rsidRDefault="00180BF3" w:rsidP="009E2908">
                <w:pPr>
                  <w:jc w:val="center"/>
                  <w:rPr>
                    <w:rFonts w:asciiTheme="minorHAnsi" w:hAnsiTheme="minorHAnsi"/>
                    <w:b/>
                  </w:rPr>
                </w:pPr>
                <w:r w:rsidRPr="006221AB">
                  <w:rPr>
                    <w:rFonts w:asciiTheme="minorHAnsi" w:hAnsiTheme="minorHAnsi"/>
                    <w:b/>
                  </w:rPr>
                  <w:t>Ranking Criteria</w:t>
                </w:r>
              </w:p>
            </w:tc>
            <w:tc>
              <w:tcPr>
                <w:tcW w:w="1148" w:type="dxa"/>
              </w:tcPr>
              <w:p w14:paraId="2C9D7B2B" w14:textId="77777777" w:rsidR="00180BF3" w:rsidRPr="006221AB" w:rsidRDefault="00180BF3" w:rsidP="003F1B96">
                <w:pPr>
                  <w:spacing w:before="0"/>
                  <w:jc w:val="center"/>
                  <w:rPr>
                    <w:rFonts w:asciiTheme="minorHAnsi" w:hAnsiTheme="minorHAnsi"/>
                    <w:b/>
                  </w:rPr>
                </w:pPr>
                <w:r w:rsidRPr="006221AB">
                  <w:rPr>
                    <w:rFonts w:asciiTheme="minorHAnsi" w:hAnsiTheme="minorHAnsi"/>
                    <w:b/>
                  </w:rPr>
                  <w:t>Maximum Points Possible</w:t>
                </w:r>
              </w:p>
            </w:tc>
          </w:tr>
          <w:tr w:rsidR="00180BF3" w:rsidRPr="006221AB" w14:paraId="5E82B115" w14:textId="77777777" w:rsidTr="00F07E20">
            <w:trPr>
              <w:trHeight w:hRule="exact" w:val="360"/>
            </w:trPr>
            <w:tc>
              <w:tcPr>
                <w:tcW w:w="8634" w:type="dxa"/>
              </w:tcPr>
              <w:p w14:paraId="5D026632" w14:textId="733EA475" w:rsidR="00180BF3" w:rsidRPr="006221AB" w:rsidRDefault="00D222AC" w:rsidP="003F1B96">
                <w:pPr>
                  <w:spacing w:before="0"/>
                  <w:rPr>
                    <w:rFonts w:asciiTheme="minorHAnsi" w:hAnsiTheme="minorHAnsi"/>
                    <w:u w:val="single"/>
                  </w:rPr>
                </w:pPr>
                <w:r>
                  <w:rPr>
                    <w:rFonts w:asciiTheme="minorHAnsi" w:hAnsiTheme="minorHAnsi"/>
                    <w:u w:val="single"/>
                  </w:rPr>
                  <w:t xml:space="preserve">Located in an area with high potential for </w:t>
                </w:r>
                <w:r w:rsidR="00C0584F">
                  <w:rPr>
                    <w:rFonts w:asciiTheme="minorHAnsi" w:hAnsiTheme="minorHAnsi"/>
                    <w:u w:val="single"/>
                  </w:rPr>
                  <w:t xml:space="preserve">the </w:t>
                </w:r>
                <w:r>
                  <w:rPr>
                    <w:rFonts w:asciiTheme="minorHAnsi" w:hAnsiTheme="minorHAnsi"/>
                    <w:u w:val="single"/>
                  </w:rPr>
                  <w:t>Rusty Patched Bumble Bee</w:t>
                </w:r>
              </w:p>
            </w:tc>
            <w:tc>
              <w:tcPr>
                <w:tcW w:w="1148" w:type="dxa"/>
                <w:vAlign w:val="center"/>
              </w:tcPr>
              <w:p w14:paraId="40177224" w14:textId="48CCDF8A" w:rsidR="00180BF3" w:rsidRPr="006221AB" w:rsidRDefault="003B361D" w:rsidP="003F1B96">
                <w:pPr>
                  <w:spacing w:before="0"/>
                  <w:jc w:val="center"/>
                  <w:rPr>
                    <w:rFonts w:asciiTheme="minorHAnsi" w:hAnsiTheme="minorHAnsi"/>
                  </w:rPr>
                </w:pPr>
                <w:r>
                  <w:rPr>
                    <w:rFonts w:asciiTheme="minorHAnsi" w:hAnsiTheme="minorHAnsi"/>
                  </w:rPr>
                  <w:t>2</w:t>
                </w:r>
                <w:r w:rsidR="00093B62">
                  <w:rPr>
                    <w:rFonts w:asciiTheme="minorHAnsi" w:hAnsiTheme="minorHAnsi"/>
                  </w:rPr>
                  <w:t>0</w:t>
                </w:r>
              </w:p>
            </w:tc>
          </w:tr>
          <w:tr w:rsidR="00FC36AD" w:rsidRPr="006221AB" w14:paraId="2DC368D3" w14:textId="77777777" w:rsidTr="00374114">
            <w:trPr>
              <w:trHeight w:val="395"/>
            </w:trPr>
            <w:tc>
              <w:tcPr>
                <w:tcW w:w="8634" w:type="dxa"/>
              </w:tcPr>
              <w:p w14:paraId="16BB8752" w14:textId="45381D4E" w:rsidR="00FC36AD" w:rsidRDefault="00FC36AD" w:rsidP="00FC36AD">
                <w:pPr>
                  <w:spacing w:before="0"/>
                  <w:rPr>
                    <w:rFonts w:asciiTheme="minorHAnsi" w:hAnsiTheme="minorHAnsi"/>
                    <w:u w:val="single"/>
                  </w:rPr>
                </w:pPr>
                <w:r>
                  <w:rPr>
                    <w:rFonts w:asciiTheme="minorHAnsi" w:hAnsiTheme="minorHAnsi"/>
                    <w:u w:val="single"/>
                  </w:rPr>
                  <w:t>Connection to habitat corridors/pathways or areas mapped as important for pollinator planting</w:t>
                </w:r>
                <w:r w:rsidR="00C0584F">
                  <w:rPr>
                    <w:rFonts w:asciiTheme="minorHAnsi" w:hAnsiTheme="minorHAnsi"/>
                    <w:u w:val="single"/>
                  </w:rPr>
                  <w:t>s</w:t>
                </w:r>
              </w:p>
            </w:tc>
            <w:tc>
              <w:tcPr>
                <w:tcW w:w="1148" w:type="dxa"/>
                <w:vAlign w:val="center"/>
              </w:tcPr>
              <w:p w14:paraId="3343092A" w14:textId="06E75B5B" w:rsidR="00FC36AD" w:rsidRDefault="00FC36AD" w:rsidP="00FC36AD">
                <w:pPr>
                  <w:spacing w:before="0"/>
                  <w:jc w:val="center"/>
                  <w:rPr>
                    <w:rFonts w:asciiTheme="minorHAnsi" w:hAnsiTheme="minorHAnsi"/>
                  </w:rPr>
                </w:pPr>
                <w:r>
                  <w:rPr>
                    <w:rFonts w:asciiTheme="minorHAnsi" w:hAnsiTheme="minorHAnsi"/>
                  </w:rPr>
                  <w:t>15</w:t>
                </w:r>
              </w:p>
            </w:tc>
          </w:tr>
          <w:tr w:rsidR="00FC36AD" w:rsidRPr="006221AB" w14:paraId="2656B777" w14:textId="77777777" w:rsidTr="00F07E20">
            <w:trPr>
              <w:trHeight w:hRule="exact" w:val="360"/>
            </w:trPr>
            <w:tc>
              <w:tcPr>
                <w:tcW w:w="8634" w:type="dxa"/>
              </w:tcPr>
              <w:p w14:paraId="53DDC686" w14:textId="586161BD" w:rsidR="00FC36AD" w:rsidRDefault="00093B62" w:rsidP="00FC36AD">
                <w:pPr>
                  <w:spacing w:before="0"/>
                  <w:rPr>
                    <w:rFonts w:asciiTheme="minorHAnsi" w:hAnsiTheme="minorHAnsi"/>
                    <w:u w:val="single"/>
                  </w:rPr>
                </w:pPr>
                <w:r>
                  <w:rPr>
                    <w:rFonts w:asciiTheme="minorHAnsi" w:hAnsiTheme="minorHAnsi"/>
                    <w:u w:val="single"/>
                  </w:rPr>
                  <w:t>Value to other at-risk pollinators</w:t>
                </w:r>
              </w:p>
            </w:tc>
            <w:tc>
              <w:tcPr>
                <w:tcW w:w="1148" w:type="dxa"/>
                <w:vAlign w:val="center"/>
              </w:tcPr>
              <w:p w14:paraId="7E15D343" w14:textId="686490CA" w:rsidR="00FC36AD" w:rsidRDefault="00093B62" w:rsidP="00FC36AD">
                <w:pPr>
                  <w:spacing w:before="0"/>
                  <w:jc w:val="center"/>
                  <w:rPr>
                    <w:rFonts w:asciiTheme="minorHAnsi" w:hAnsiTheme="minorHAnsi"/>
                  </w:rPr>
                </w:pPr>
                <w:r>
                  <w:rPr>
                    <w:rFonts w:asciiTheme="minorHAnsi" w:hAnsiTheme="minorHAnsi"/>
                  </w:rPr>
                  <w:t>10</w:t>
                </w:r>
              </w:p>
            </w:tc>
          </w:tr>
          <w:tr w:rsidR="00FC36AD" w:rsidRPr="006221AB" w14:paraId="61C5D17F" w14:textId="77777777" w:rsidTr="00374114">
            <w:trPr>
              <w:trHeight w:val="413"/>
            </w:trPr>
            <w:tc>
              <w:tcPr>
                <w:tcW w:w="8634" w:type="dxa"/>
              </w:tcPr>
              <w:p w14:paraId="25F05407" w14:textId="26CE7FA3" w:rsidR="00FC36AD" w:rsidRDefault="003B361D" w:rsidP="00FC36AD">
                <w:pPr>
                  <w:spacing w:before="0"/>
                  <w:rPr>
                    <w:rFonts w:asciiTheme="minorHAnsi" w:hAnsiTheme="minorHAnsi"/>
                    <w:u w:val="single"/>
                  </w:rPr>
                </w:pPr>
                <w:r>
                  <w:rPr>
                    <w:rFonts w:asciiTheme="minorHAnsi" w:hAnsiTheme="minorHAnsi"/>
                    <w:u w:val="single"/>
                  </w:rPr>
                  <w:t xml:space="preserve">Partnerships </w:t>
                </w:r>
                <w:r w:rsidR="00FC36AD">
                  <w:rPr>
                    <w:rFonts w:asciiTheme="minorHAnsi" w:hAnsiTheme="minorHAnsi"/>
                    <w:u w:val="single"/>
                  </w:rPr>
                  <w:t xml:space="preserve">established </w:t>
                </w:r>
                <w:r>
                  <w:rPr>
                    <w:rFonts w:asciiTheme="minorHAnsi" w:hAnsiTheme="minorHAnsi"/>
                    <w:u w:val="single"/>
                  </w:rPr>
                  <w:t xml:space="preserve">or strengthened </w:t>
                </w:r>
                <w:r w:rsidR="00FC36AD">
                  <w:rPr>
                    <w:rFonts w:asciiTheme="minorHAnsi" w:hAnsiTheme="minorHAnsi"/>
                    <w:u w:val="single"/>
                  </w:rPr>
                  <w:t>as part of the demonstration neighborhoods</w:t>
                </w:r>
              </w:p>
            </w:tc>
            <w:tc>
              <w:tcPr>
                <w:tcW w:w="1148" w:type="dxa"/>
                <w:vAlign w:val="center"/>
              </w:tcPr>
              <w:p w14:paraId="0FD46225" w14:textId="08678F4F" w:rsidR="00FC36AD" w:rsidRDefault="00A16027" w:rsidP="00FC36AD">
                <w:pPr>
                  <w:spacing w:before="0"/>
                  <w:jc w:val="center"/>
                  <w:rPr>
                    <w:rFonts w:asciiTheme="minorHAnsi" w:hAnsiTheme="minorHAnsi"/>
                  </w:rPr>
                </w:pPr>
                <w:r>
                  <w:rPr>
                    <w:rFonts w:asciiTheme="minorHAnsi" w:hAnsiTheme="minorHAnsi"/>
                  </w:rPr>
                  <w:t>1</w:t>
                </w:r>
                <w:r w:rsidR="00093B62">
                  <w:rPr>
                    <w:rFonts w:asciiTheme="minorHAnsi" w:hAnsiTheme="minorHAnsi"/>
                  </w:rPr>
                  <w:t>0</w:t>
                </w:r>
              </w:p>
            </w:tc>
          </w:tr>
          <w:tr w:rsidR="00FC36AD" w:rsidRPr="006221AB" w14:paraId="05E43556" w14:textId="77777777" w:rsidTr="00F07E20">
            <w:trPr>
              <w:trHeight w:hRule="exact" w:val="360"/>
            </w:trPr>
            <w:tc>
              <w:tcPr>
                <w:tcW w:w="8634" w:type="dxa"/>
              </w:tcPr>
              <w:p w14:paraId="3B4D8298" w14:textId="0A61131F" w:rsidR="00FC36AD" w:rsidRDefault="00FC36AD" w:rsidP="00FC36AD">
                <w:pPr>
                  <w:spacing w:before="0"/>
                  <w:rPr>
                    <w:rFonts w:asciiTheme="minorHAnsi" w:hAnsiTheme="minorHAnsi"/>
                    <w:u w:val="single"/>
                  </w:rPr>
                </w:pPr>
                <w:r>
                  <w:rPr>
                    <w:rFonts w:asciiTheme="minorHAnsi" w:hAnsiTheme="minorHAnsi"/>
                    <w:u w:val="single"/>
                  </w:rPr>
                  <w:t xml:space="preserve">Sufficient technical capacity of applicant and partners </w:t>
                </w:r>
              </w:p>
            </w:tc>
            <w:tc>
              <w:tcPr>
                <w:tcW w:w="1148" w:type="dxa"/>
                <w:vAlign w:val="center"/>
              </w:tcPr>
              <w:p w14:paraId="2797CEC5" w14:textId="47F24A06" w:rsidR="00FC36AD" w:rsidRDefault="00FC36AD" w:rsidP="00FC36AD">
                <w:pPr>
                  <w:spacing w:before="0"/>
                  <w:jc w:val="center"/>
                  <w:rPr>
                    <w:rFonts w:asciiTheme="minorHAnsi" w:hAnsiTheme="minorHAnsi"/>
                  </w:rPr>
                </w:pPr>
                <w:r>
                  <w:rPr>
                    <w:rFonts w:asciiTheme="minorHAnsi" w:hAnsiTheme="minorHAnsi"/>
                  </w:rPr>
                  <w:t>10</w:t>
                </w:r>
              </w:p>
            </w:tc>
          </w:tr>
          <w:tr w:rsidR="00DB56F2" w14:paraId="761B6116" w14:textId="77777777" w:rsidTr="002B3C7B">
            <w:trPr>
              <w:trHeight w:val="350"/>
            </w:trPr>
            <w:tc>
              <w:tcPr>
                <w:tcW w:w="8634" w:type="dxa"/>
              </w:tcPr>
              <w:p w14:paraId="501658B6" w14:textId="1D2EFB5E" w:rsidR="00DB56F2" w:rsidRDefault="00DB56F2" w:rsidP="002B3C7B">
                <w:pPr>
                  <w:spacing w:before="0"/>
                  <w:rPr>
                    <w:rFonts w:asciiTheme="minorHAnsi" w:hAnsiTheme="minorHAnsi"/>
                    <w:u w:val="single"/>
                  </w:rPr>
                </w:pPr>
                <w:r>
                  <w:rPr>
                    <w:rFonts w:asciiTheme="minorHAnsi" w:hAnsiTheme="minorHAnsi"/>
                    <w:u w:val="single"/>
                  </w:rPr>
                  <w:t>Long-term planning/maintenance/sustainability of projects</w:t>
                </w:r>
                <w:r w:rsidR="00C0584F">
                  <w:rPr>
                    <w:rFonts w:asciiTheme="minorHAnsi" w:hAnsiTheme="minorHAnsi"/>
                    <w:u w:val="single"/>
                  </w:rPr>
                  <w:t xml:space="preserve">, including </w:t>
                </w:r>
                <w:r>
                  <w:rPr>
                    <w:rFonts w:asciiTheme="minorHAnsi" w:hAnsiTheme="minorHAnsi"/>
                    <w:u w:val="single"/>
                  </w:rPr>
                  <w:t>protection from pesticide exposure</w:t>
                </w:r>
              </w:p>
            </w:tc>
            <w:tc>
              <w:tcPr>
                <w:tcW w:w="1148" w:type="dxa"/>
                <w:vAlign w:val="center"/>
              </w:tcPr>
              <w:p w14:paraId="04561975" w14:textId="77777777" w:rsidR="00DB56F2" w:rsidRDefault="00DB56F2" w:rsidP="002B3C7B">
                <w:pPr>
                  <w:spacing w:before="0"/>
                  <w:jc w:val="center"/>
                  <w:rPr>
                    <w:rFonts w:asciiTheme="minorHAnsi" w:hAnsiTheme="minorHAnsi"/>
                  </w:rPr>
                </w:pPr>
                <w:r>
                  <w:rPr>
                    <w:rFonts w:asciiTheme="minorHAnsi" w:hAnsiTheme="minorHAnsi"/>
                  </w:rPr>
                  <w:t>10</w:t>
                </w:r>
              </w:p>
            </w:tc>
          </w:tr>
          <w:tr w:rsidR="00FC36AD" w:rsidRPr="006221AB" w14:paraId="7228472F" w14:textId="77777777" w:rsidTr="00703246">
            <w:trPr>
              <w:trHeight w:hRule="exact" w:val="694"/>
            </w:trPr>
            <w:tc>
              <w:tcPr>
                <w:tcW w:w="8634" w:type="dxa"/>
              </w:tcPr>
              <w:p w14:paraId="7AF52E4C" w14:textId="3D7AA975" w:rsidR="00FC36AD" w:rsidRPr="006221AB" w:rsidRDefault="00FC36AD" w:rsidP="00FC36AD">
                <w:pPr>
                  <w:spacing w:before="0"/>
                  <w:rPr>
                    <w:rFonts w:asciiTheme="minorHAnsi" w:hAnsiTheme="minorHAnsi"/>
                    <w:u w:val="single"/>
                  </w:rPr>
                </w:pPr>
                <w:r>
                  <w:rPr>
                    <w:rFonts w:asciiTheme="minorHAnsi" w:hAnsiTheme="minorHAnsi"/>
                    <w:u w:val="single"/>
                  </w:rPr>
                  <w:lastRenderedPageBreak/>
                  <w:t>Potential to incorporate several project types</w:t>
                </w:r>
                <w:r w:rsidR="00A16027">
                  <w:rPr>
                    <w:rFonts w:asciiTheme="minorHAnsi" w:hAnsiTheme="minorHAnsi"/>
                    <w:u w:val="single"/>
                  </w:rPr>
                  <w:t xml:space="preserve"> (i.e. </w:t>
                </w:r>
                <w:r w:rsidR="009B6D4F">
                  <w:rPr>
                    <w:rFonts w:asciiTheme="minorHAnsi" w:hAnsiTheme="minorHAnsi"/>
                    <w:u w:val="single"/>
                  </w:rPr>
                  <w:t>flowering tre</w:t>
                </w:r>
                <w:r w:rsidR="00136D09">
                  <w:rPr>
                    <w:rFonts w:asciiTheme="minorHAnsi" w:hAnsiTheme="minorHAnsi"/>
                    <w:u w:val="single"/>
                  </w:rPr>
                  <w:t>e</w:t>
                </w:r>
                <w:r w:rsidR="009B6D4F">
                  <w:rPr>
                    <w:rFonts w:asciiTheme="minorHAnsi" w:hAnsiTheme="minorHAnsi"/>
                    <w:u w:val="single"/>
                  </w:rPr>
                  <w:t>s and shrubs, pollinator lawns, etc.)</w:t>
                </w:r>
                <w:r>
                  <w:rPr>
                    <w:rFonts w:asciiTheme="minorHAnsi" w:hAnsiTheme="minorHAnsi"/>
                    <w:u w:val="single"/>
                  </w:rPr>
                  <w:t xml:space="preserve"> into the demonstration neighborhood</w:t>
                </w:r>
              </w:p>
            </w:tc>
            <w:tc>
              <w:tcPr>
                <w:tcW w:w="1148" w:type="dxa"/>
                <w:vAlign w:val="center"/>
              </w:tcPr>
              <w:p w14:paraId="2AFE2042" w14:textId="5EC297BA" w:rsidR="00FC36AD" w:rsidRDefault="00FC36AD" w:rsidP="00FC36AD">
                <w:pPr>
                  <w:spacing w:before="0"/>
                  <w:jc w:val="center"/>
                  <w:rPr>
                    <w:rFonts w:asciiTheme="minorHAnsi" w:hAnsiTheme="minorHAnsi"/>
                  </w:rPr>
                </w:pPr>
                <w:r>
                  <w:rPr>
                    <w:rFonts w:asciiTheme="minorHAnsi" w:hAnsiTheme="minorHAnsi"/>
                  </w:rPr>
                  <w:t>5</w:t>
                </w:r>
              </w:p>
            </w:tc>
          </w:tr>
          <w:tr w:rsidR="00FC36AD" w:rsidRPr="006221AB" w14:paraId="03F80428" w14:textId="77777777" w:rsidTr="00F07E20">
            <w:trPr>
              <w:trHeight w:hRule="exact" w:val="595"/>
            </w:trPr>
            <w:tc>
              <w:tcPr>
                <w:tcW w:w="8634" w:type="dxa"/>
              </w:tcPr>
              <w:p w14:paraId="01355FC7" w14:textId="37FC95AB" w:rsidR="00FC36AD" w:rsidRPr="006221AB" w:rsidRDefault="00FC36AD" w:rsidP="00FC36AD">
                <w:pPr>
                  <w:spacing w:before="0"/>
                  <w:rPr>
                    <w:rFonts w:asciiTheme="minorHAnsi" w:hAnsiTheme="minorHAnsi"/>
                    <w:u w:val="single"/>
                  </w:rPr>
                </w:pPr>
                <w:r w:rsidRPr="006221AB">
                  <w:rPr>
                    <w:rFonts w:asciiTheme="minorHAnsi" w:hAnsiTheme="minorHAnsi"/>
                    <w:u w:val="single"/>
                  </w:rPr>
                  <w:t>Anticipated Outcomes:</w:t>
                </w:r>
                <w:r w:rsidRPr="006221AB">
                  <w:rPr>
                    <w:rFonts w:asciiTheme="minorHAnsi" w:hAnsiTheme="minorHAnsi"/>
                  </w:rPr>
                  <w:t xml:space="preserve">  The outcomes expected upon completion of the project initiatives are</w:t>
                </w:r>
                <w:r w:rsidR="00DB56F2">
                  <w:rPr>
                    <w:rFonts w:asciiTheme="minorHAnsi" w:hAnsiTheme="minorHAnsi"/>
                  </w:rPr>
                  <w:t xml:space="preserve"> identified, </w:t>
                </w:r>
                <w:r>
                  <w:rPr>
                    <w:rFonts w:asciiTheme="minorHAnsi" w:hAnsiTheme="minorHAnsi"/>
                  </w:rPr>
                  <w:t xml:space="preserve">consistent with project goals, and it is clear how these outcomes will be obtained. </w:t>
                </w:r>
              </w:p>
            </w:tc>
            <w:tc>
              <w:tcPr>
                <w:tcW w:w="1148" w:type="dxa"/>
                <w:vAlign w:val="center"/>
              </w:tcPr>
              <w:p w14:paraId="77A805EB" w14:textId="0DD2241B" w:rsidR="00FC36AD" w:rsidRPr="006221AB" w:rsidRDefault="00DB56F2" w:rsidP="00FC36AD">
                <w:pPr>
                  <w:spacing w:before="0"/>
                  <w:jc w:val="center"/>
                  <w:rPr>
                    <w:rFonts w:asciiTheme="minorHAnsi" w:hAnsiTheme="minorHAnsi"/>
                  </w:rPr>
                </w:pPr>
                <w:r>
                  <w:rPr>
                    <w:rFonts w:asciiTheme="minorHAnsi" w:hAnsiTheme="minorHAnsi"/>
                  </w:rPr>
                  <w:t>20</w:t>
                </w:r>
              </w:p>
            </w:tc>
          </w:tr>
          <w:tr w:rsidR="00FC36AD" w:rsidRPr="006221AB" w14:paraId="0C603438" w14:textId="77777777" w:rsidTr="00F07E20">
            <w:trPr>
              <w:trHeight w:hRule="exact" w:val="352"/>
            </w:trPr>
            <w:tc>
              <w:tcPr>
                <w:tcW w:w="8634" w:type="dxa"/>
                <w:vAlign w:val="center"/>
              </w:tcPr>
              <w:p w14:paraId="6BE4E3A2" w14:textId="0A71FD35" w:rsidR="00FC36AD" w:rsidRDefault="00FC36AD" w:rsidP="00FC36AD">
                <w:pPr>
                  <w:spacing w:before="0"/>
                  <w:rPr>
                    <w:rFonts w:asciiTheme="minorHAnsi" w:hAnsiTheme="minorHAnsi"/>
                    <w:u w:val="single"/>
                  </w:rPr>
                </w:pPr>
                <w:r w:rsidRPr="006221AB" w:rsidDel="005F4B83">
                  <w:rPr>
                    <w:rFonts w:asciiTheme="minorHAnsi" w:hAnsiTheme="minorHAnsi"/>
                    <w:b/>
                  </w:rPr>
                  <w:t>Total Points Available</w:t>
                </w:r>
              </w:p>
            </w:tc>
            <w:tc>
              <w:tcPr>
                <w:tcW w:w="1148" w:type="dxa"/>
                <w:vAlign w:val="center"/>
              </w:tcPr>
              <w:p w14:paraId="46FDA999" w14:textId="11727B39" w:rsidR="00FC36AD" w:rsidRPr="006221AB" w:rsidRDefault="00FC36AD" w:rsidP="00FC36AD">
                <w:pPr>
                  <w:spacing w:before="0"/>
                  <w:jc w:val="center"/>
                  <w:rPr>
                    <w:rFonts w:asciiTheme="minorHAnsi" w:hAnsiTheme="minorHAnsi"/>
                  </w:rPr>
                </w:pPr>
                <w:r w:rsidRPr="006221AB" w:rsidDel="005F4B83">
                  <w:rPr>
                    <w:rFonts w:asciiTheme="minorHAnsi" w:hAnsiTheme="minorHAnsi"/>
                    <w:b/>
                  </w:rPr>
                  <w:t>100</w:t>
                </w:r>
              </w:p>
            </w:tc>
          </w:tr>
        </w:tbl>
        <w:p w14:paraId="0BF22837" w14:textId="2FBCA500" w:rsidR="00505D98" w:rsidRPr="00505D98" w:rsidRDefault="00134D00" w:rsidP="00505D98">
          <w:pPr>
            <w:autoSpaceDE w:val="0"/>
            <w:autoSpaceDN w:val="0"/>
            <w:rPr>
              <w:rFonts w:asciiTheme="minorHAnsi" w:hAnsiTheme="minorHAnsi"/>
              <w:szCs w:val="16"/>
            </w:rPr>
          </w:pPr>
          <w:r>
            <w:rPr>
              <w:rFonts w:asciiTheme="minorHAnsi" w:hAnsiTheme="minorHAnsi"/>
              <w:szCs w:val="16"/>
            </w:rPr>
            <w:t>*BWSR reserves the right to make selections based on geography and equity, in consideration of the Office of Grants Management Policy 08-02 Rating Criteria for Competitive Grant Review.</w:t>
          </w:r>
        </w:p>
        <w:p w14:paraId="063A7AE5" w14:textId="3A3CBCAE" w:rsidR="00864005" w:rsidRDefault="00864005" w:rsidP="00864005">
          <w:pPr>
            <w:pStyle w:val="Heading2"/>
          </w:pPr>
          <w:r>
            <w:t>Eligible Activities</w:t>
          </w:r>
        </w:p>
        <w:p w14:paraId="2FCDEDC6" w14:textId="74E8AE78" w:rsidR="00644ECD" w:rsidRDefault="005208C1" w:rsidP="007813FE">
          <w:pPr>
            <w:pStyle w:val="BodyText"/>
            <w:numPr>
              <w:ilvl w:val="0"/>
              <w:numId w:val="15"/>
            </w:numPr>
            <w:spacing w:before="0" w:after="0" w:line="240" w:lineRule="auto"/>
          </w:pPr>
          <w:r>
            <w:t xml:space="preserve">Project and plan development </w:t>
          </w:r>
        </w:p>
        <w:p w14:paraId="3A403CF4" w14:textId="6A4134BB" w:rsidR="007813FE" w:rsidRDefault="007813FE" w:rsidP="007813FE">
          <w:pPr>
            <w:pStyle w:val="BodyText"/>
            <w:numPr>
              <w:ilvl w:val="0"/>
              <w:numId w:val="15"/>
            </w:numPr>
            <w:spacing w:before="0" w:after="0" w:line="240" w:lineRule="auto"/>
          </w:pPr>
          <w:r>
            <w:t xml:space="preserve">Site preparation, planting and management costs (tilling, burning, sod removal, weed barriers, seeds, containerized plants, seeding, inter-seeding, weed removal, etc.) </w:t>
          </w:r>
        </w:p>
        <w:p w14:paraId="6290D41B" w14:textId="28565A0B" w:rsidR="007813FE" w:rsidRDefault="007813FE" w:rsidP="007813FE">
          <w:pPr>
            <w:pStyle w:val="BodyText"/>
            <w:numPr>
              <w:ilvl w:val="0"/>
              <w:numId w:val="15"/>
            </w:numPr>
            <w:spacing w:before="0" w:after="0" w:line="240" w:lineRule="auto"/>
          </w:pPr>
          <w:r>
            <w:t xml:space="preserve">Non-herbicide methods of site preparation and management are preferred, see </w:t>
          </w:r>
          <w:r w:rsidR="00AE7219">
            <w:t xml:space="preserve">the </w:t>
          </w:r>
          <w:r>
            <w:t>Xerces Society guide to “</w:t>
          </w:r>
          <w:hyperlink r:id="rId10" w:history="1">
            <w:r w:rsidRPr="00EB3653">
              <w:rPr>
                <w:rStyle w:val="Hyperlink"/>
              </w:rPr>
              <w:t>Organic Site Preparation Methods</w:t>
            </w:r>
          </w:hyperlink>
          <w:r>
            <w:t>.”</w:t>
          </w:r>
        </w:p>
        <w:p w14:paraId="4477E6E4" w14:textId="3DAE5D2A" w:rsidR="007813FE" w:rsidRDefault="007813FE" w:rsidP="007813FE">
          <w:pPr>
            <w:pStyle w:val="BodyText"/>
            <w:numPr>
              <w:ilvl w:val="0"/>
              <w:numId w:val="15"/>
            </w:numPr>
            <w:spacing w:before="0" w:after="0" w:line="240" w:lineRule="auto"/>
          </w:pPr>
          <w:r>
            <w:t>Flowering trees and shrubs are eligible for funding, as they often provide early season floral resources and nesting resources</w:t>
          </w:r>
        </w:p>
        <w:p w14:paraId="6538D957" w14:textId="58F801C7" w:rsidR="007813FE" w:rsidRPr="00B76F06" w:rsidRDefault="007813FE" w:rsidP="007813FE">
          <w:pPr>
            <w:pStyle w:val="BodyText"/>
            <w:numPr>
              <w:ilvl w:val="0"/>
              <w:numId w:val="15"/>
            </w:numPr>
            <w:spacing w:before="0" w:after="0" w:line="240" w:lineRule="auto"/>
          </w:pPr>
          <w:r>
            <w:t xml:space="preserve">It is encouraged to use this program in combination with other </w:t>
          </w:r>
          <w:r w:rsidR="0018293B">
            <w:t xml:space="preserve">non-state </w:t>
          </w:r>
          <w:r>
            <w:t>funding sources and practices.</w:t>
          </w:r>
        </w:p>
        <w:p w14:paraId="0832D4AD" w14:textId="7EC7E62A" w:rsidR="00575B6C" w:rsidRDefault="00FC5B76" w:rsidP="00575B6C">
          <w:pPr>
            <w:pStyle w:val="Heading2"/>
          </w:pPr>
          <w:r>
            <w:t xml:space="preserve">Additional </w:t>
          </w:r>
          <w:r w:rsidR="00575B6C">
            <w:t>Information</w:t>
          </w:r>
        </w:p>
        <w:p w14:paraId="65E5FC86" w14:textId="287B09E9" w:rsidR="00E44738" w:rsidRDefault="00E44738" w:rsidP="005208C1">
          <w:pPr>
            <w:rPr>
              <w:rFonts w:asciiTheme="minorHAnsi" w:hAnsiTheme="minorHAnsi"/>
            </w:rPr>
          </w:pPr>
          <w:r>
            <w:rPr>
              <w:rFonts w:asciiTheme="minorHAnsi" w:hAnsiTheme="minorHAnsi"/>
            </w:rPr>
            <w:t xml:space="preserve">Grantees will be required to comply with </w:t>
          </w:r>
          <w:r w:rsidR="00D82C80">
            <w:rPr>
              <w:rFonts w:asciiTheme="minorHAnsi" w:hAnsiTheme="minorHAnsi"/>
            </w:rPr>
            <w:t xml:space="preserve">prevailing wage provisions and other </w:t>
          </w:r>
          <w:r>
            <w:rPr>
              <w:rFonts w:asciiTheme="minorHAnsi" w:hAnsiTheme="minorHAnsi"/>
            </w:rPr>
            <w:t xml:space="preserve">assurance and administrative requirements </w:t>
          </w:r>
          <w:r w:rsidR="00D82C80">
            <w:rPr>
              <w:rFonts w:asciiTheme="minorHAnsi" w:hAnsiTheme="minorHAnsi"/>
            </w:rPr>
            <w:t xml:space="preserve">via a grant agreement and workplan </w:t>
          </w:r>
          <w:r>
            <w:rPr>
              <w:rFonts w:asciiTheme="minorHAnsi" w:hAnsiTheme="minorHAnsi"/>
            </w:rPr>
            <w:t>as approved by BWSR</w:t>
          </w:r>
          <w:r w:rsidR="00D82C80">
            <w:rPr>
              <w:rFonts w:asciiTheme="minorHAnsi" w:hAnsiTheme="minorHAnsi"/>
            </w:rPr>
            <w:t xml:space="preserve"> consistent with </w:t>
          </w:r>
          <w:r w:rsidR="00F24EE3">
            <w:rPr>
              <w:rFonts w:asciiTheme="minorHAnsi" w:hAnsiTheme="minorHAnsi"/>
            </w:rPr>
            <w:t>appropriations and state grants administration policies.</w:t>
          </w:r>
        </w:p>
        <w:p w14:paraId="6F106062" w14:textId="7FFE9D50" w:rsidR="005208C1" w:rsidRDefault="005208C1" w:rsidP="005208C1">
          <w:pPr>
            <w:rPr>
              <w:rFonts w:asciiTheme="minorHAnsi" w:hAnsiTheme="minorHAnsi"/>
            </w:rPr>
          </w:pPr>
          <w:r>
            <w:rPr>
              <w:rFonts w:asciiTheme="minorHAnsi" w:hAnsiTheme="minorHAnsi"/>
            </w:rPr>
            <w:t xml:space="preserve">BWSR recognizes that not all participating landowners will be signed onto the program at the time of </w:t>
          </w:r>
          <w:r w:rsidR="007E5C77">
            <w:rPr>
              <w:rFonts w:asciiTheme="minorHAnsi" w:hAnsiTheme="minorHAnsi"/>
            </w:rPr>
            <w:t>application,</w:t>
          </w:r>
          <w:r>
            <w:rPr>
              <w:rFonts w:asciiTheme="minorHAnsi" w:hAnsiTheme="minorHAnsi"/>
            </w:rPr>
            <w:t xml:space="preserve"> but some documented interest should be identified at the time of application. </w:t>
          </w:r>
        </w:p>
        <w:p w14:paraId="61E13EE7" w14:textId="63CDE533" w:rsidR="005208C1" w:rsidRDefault="005208C1" w:rsidP="005208C1">
          <w:pPr>
            <w:rPr>
              <w:rFonts w:asciiTheme="minorHAnsi" w:hAnsiTheme="minorHAnsi"/>
            </w:rPr>
          </w:pPr>
          <w:r>
            <w:rPr>
              <w:rFonts w:asciiTheme="minorHAnsi" w:hAnsiTheme="minorHAnsi"/>
            </w:rPr>
            <w:t xml:space="preserve">BWSR has left the definition </w:t>
          </w:r>
          <w:r w:rsidR="009C2F5D">
            <w:rPr>
              <w:rFonts w:asciiTheme="minorHAnsi" w:hAnsiTheme="minorHAnsi"/>
            </w:rPr>
            <w:t xml:space="preserve">of “neighborhood” </w:t>
          </w:r>
          <w:r>
            <w:rPr>
              <w:rFonts w:asciiTheme="minorHAnsi" w:hAnsiTheme="minorHAnsi"/>
            </w:rPr>
            <w:t xml:space="preserve">open-ended to allow applicants to determine </w:t>
          </w:r>
          <w:r w:rsidR="00DB56F2">
            <w:rPr>
              <w:rFonts w:asciiTheme="minorHAnsi" w:hAnsiTheme="minorHAnsi"/>
            </w:rPr>
            <w:t>h</w:t>
          </w:r>
          <w:r>
            <w:rPr>
              <w:rFonts w:asciiTheme="minorHAnsi" w:hAnsiTheme="minorHAnsi"/>
            </w:rPr>
            <w:t xml:space="preserve">ow to most effectively establish demonstration projects and benefit pollinators.  </w:t>
          </w:r>
        </w:p>
        <w:p w14:paraId="61E55D17" w14:textId="31B5DE6B" w:rsidR="00FC5B76" w:rsidRDefault="00FC5B76" w:rsidP="00FC5B76">
          <w:pPr>
            <w:rPr>
              <w:rFonts w:asciiTheme="minorHAnsi" w:hAnsiTheme="minorHAnsi"/>
            </w:rPr>
          </w:pPr>
          <w:r>
            <w:rPr>
              <w:rFonts w:asciiTheme="minorHAnsi" w:hAnsiTheme="minorHAnsi"/>
            </w:rPr>
            <w:t xml:space="preserve">Projects must be sustained for a minimum of </w:t>
          </w:r>
          <w:r w:rsidR="00DB56F2">
            <w:rPr>
              <w:rFonts w:asciiTheme="minorHAnsi" w:hAnsiTheme="minorHAnsi"/>
            </w:rPr>
            <w:t>5</w:t>
          </w:r>
          <w:r>
            <w:rPr>
              <w:rFonts w:asciiTheme="minorHAnsi" w:hAnsiTheme="minorHAnsi"/>
            </w:rPr>
            <w:t xml:space="preserve"> years and have a focus on long-term care of ecological functions and aesthetics.</w:t>
          </w:r>
        </w:p>
        <w:p w14:paraId="29C7439D" w14:textId="77777777" w:rsidR="0088424C" w:rsidRDefault="0088424C" w:rsidP="0088424C">
          <w:pPr>
            <w:rPr>
              <w:rFonts w:asciiTheme="minorHAnsi" w:hAnsiTheme="minorHAnsi"/>
            </w:rPr>
          </w:pPr>
          <w:r>
            <w:rPr>
              <w:rFonts w:asciiTheme="minorHAnsi" w:hAnsiTheme="minorHAnsi"/>
            </w:rPr>
            <w:t xml:space="preserve">Grantees must follow project planning and design requirements using project planning information as provided below: </w:t>
          </w:r>
        </w:p>
        <w:p w14:paraId="5C79AE0F" w14:textId="77777777" w:rsidR="0088424C" w:rsidRPr="00FC5B76" w:rsidRDefault="0088424C" w:rsidP="0088424C">
          <w:pPr>
            <w:pStyle w:val="ListParagraph"/>
            <w:numPr>
              <w:ilvl w:val="0"/>
              <w:numId w:val="20"/>
            </w:numPr>
            <w:rPr>
              <w:rFonts w:asciiTheme="minorHAnsi" w:hAnsiTheme="minorHAnsi"/>
              <w:sz w:val="22"/>
            </w:rPr>
          </w:pPr>
          <w:r w:rsidRPr="00FC5B76">
            <w:rPr>
              <w:rFonts w:asciiTheme="minorHAnsi" w:hAnsiTheme="minorHAnsi"/>
              <w:sz w:val="22"/>
            </w:rPr>
            <w:t xml:space="preserve">See </w:t>
          </w:r>
          <w:hyperlink r:id="rId11" w:history="1">
            <w:r w:rsidRPr="00FC5B76">
              <w:rPr>
                <w:rStyle w:val="Hyperlink"/>
                <w:rFonts w:asciiTheme="minorHAnsi" w:hAnsiTheme="minorHAnsi"/>
                <w:sz w:val="22"/>
              </w:rPr>
              <w:t>BWSR’s Pollinator Toolbox</w:t>
            </w:r>
          </w:hyperlink>
          <w:r>
            <w:rPr>
              <w:rStyle w:val="Hyperlink"/>
              <w:rFonts w:asciiTheme="minorHAnsi" w:hAnsiTheme="minorHAnsi"/>
              <w:sz w:val="22"/>
            </w:rPr>
            <w:t xml:space="preserve">, The Lawns to Legumes Program Guide </w:t>
          </w:r>
          <w:r w:rsidRPr="00FC5B76">
            <w:rPr>
              <w:rFonts w:asciiTheme="minorHAnsi" w:hAnsiTheme="minorHAnsi"/>
              <w:sz w:val="22"/>
            </w:rPr>
            <w:t xml:space="preserve">, as well as </w:t>
          </w:r>
          <w:hyperlink r:id="rId12" w:history="1">
            <w:r w:rsidRPr="00FC5B76">
              <w:rPr>
                <w:rStyle w:val="Hyperlink"/>
                <w:rFonts w:asciiTheme="minorHAnsi" w:hAnsiTheme="minorHAnsi"/>
                <w:sz w:val="22"/>
              </w:rPr>
              <w:t>Xerces Society resources</w:t>
            </w:r>
          </w:hyperlink>
          <w:r w:rsidRPr="00FC5B76">
            <w:rPr>
              <w:rFonts w:asciiTheme="minorHAnsi" w:hAnsiTheme="minorHAnsi"/>
              <w:sz w:val="22"/>
            </w:rPr>
            <w:t>, and Metro Blooms turf alternative resources for additional design guidance.</w:t>
          </w:r>
        </w:p>
        <w:p w14:paraId="07816578" w14:textId="0B0BB1DF" w:rsidR="00134D00" w:rsidRDefault="00505D98" w:rsidP="00134D00">
          <w:pPr>
            <w:pStyle w:val="BodyText"/>
          </w:pPr>
          <w:r>
            <w:t>Projects</w:t>
          </w:r>
          <w:r w:rsidR="00134D00">
            <w:t xml:space="preserve"> must </w:t>
          </w:r>
          <w:r>
            <w:t>include</w:t>
          </w:r>
          <w:r w:rsidR="00134D00">
            <w:t xml:space="preserve"> plans for long-term maintenance</w:t>
          </w:r>
          <w:r w:rsidR="009F4F45">
            <w:t xml:space="preserve">, </w:t>
          </w:r>
          <w:r w:rsidR="00134D00">
            <w:t xml:space="preserve">inspection monitoring </w:t>
          </w:r>
          <w:r w:rsidR="009F4F45">
            <w:t xml:space="preserve">and site access </w:t>
          </w:r>
          <w:r w:rsidR="00134D00">
            <w:t xml:space="preserve">for the duration of the life of a project as part of their project files. Work plans developed for funded applications will rely on this information for operation, maintenance and inspection requirements after the project is completed. </w:t>
          </w:r>
        </w:p>
        <w:p w14:paraId="30490E1F" w14:textId="248C39C2" w:rsidR="00505D98" w:rsidRDefault="00505D98" w:rsidP="00505D98">
          <w:pPr>
            <w:rPr>
              <w:rFonts w:asciiTheme="minorHAnsi" w:hAnsiTheme="minorHAnsi"/>
            </w:rPr>
          </w:pPr>
          <w:r>
            <w:rPr>
              <w:rFonts w:asciiTheme="minorHAnsi" w:hAnsiTheme="minorHAnsi"/>
            </w:rPr>
            <w:t>Project size up to three acres with no minimum size.</w:t>
          </w:r>
        </w:p>
        <w:p w14:paraId="598AB0F2" w14:textId="73DCD4EE" w:rsidR="00505D98" w:rsidRDefault="00374114" w:rsidP="00505D98">
          <w:pPr>
            <w:rPr>
              <w:rFonts w:asciiTheme="minorHAnsi" w:hAnsiTheme="minorHAnsi"/>
            </w:rPr>
          </w:pPr>
          <w:r>
            <w:rPr>
              <w:rFonts w:asciiTheme="minorHAnsi" w:hAnsiTheme="minorHAnsi"/>
            </w:rPr>
            <w:t>Pollinator s</w:t>
          </w:r>
          <w:r w:rsidR="00505D98" w:rsidRPr="00FC5B76">
            <w:rPr>
              <w:rFonts w:asciiTheme="minorHAnsi" w:hAnsiTheme="minorHAnsi"/>
            </w:rPr>
            <w:t>ignage is required for all projects funded through this program.</w:t>
          </w:r>
          <w:r>
            <w:rPr>
              <w:rFonts w:asciiTheme="minorHAnsi" w:hAnsiTheme="minorHAnsi"/>
            </w:rPr>
            <w:t xml:space="preserve"> Signage will be provided by BWSR.</w:t>
          </w:r>
        </w:p>
        <w:p w14:paraId="792AB9D7" w14:textId="7C2426CC" w:rsidR="00FC5B76" w:rsidRDefault="00FC5B76" w:rsidP="00FC5B76">
          <w:pPr>
            <w:rPr>
              <w:rFonts w:asciiTheme="minorHAnsi" w:hAnsiTheme="minorHAnsi"/>
            </w:rPr>
          </w:pPr>
          <w:r>
            <w:rPr>
              <w:rFonts w:asciiTheme="minorHAnsi" w:hAnsiTheme="minorHAnsi"/>
            </w:rPr>
            <w:lastRenderedPageBreak/>
            <w:t xml:space="preserve">Projects are strongly encouraged to be located in areas protected from pesticides (at least 200 feet away from pesticide application). See the BWSR/Xerces Society fact sheet on </w:t>
          </w:r>
          <w:hyperlink r:id="rId13" w:history="1">
            <w:r w:rsidRPr="00C02701">
              <w:rPr>
                <w:rStyle w:val="Hyperlink"/>
                <w:rFonts w:asciiTheme="minorHAnsi" w:hAnsiTheme="minorHAnsi"/>
              </w:rPr>
              <w:t>Protecting Conservation Lands from Pesticides</w:t>
            </w:r>
          </w:hyperlink>
          <w:r>
            <w:rPr>
              <w:rFonts w:asciiTheme="minorHAnsi" w:hAnsiTheme="minorHAnsi"/>
            </w:rPr>
            <w:t xml:space="preserve"> for additional protection strategies.</w:t>
          </w:r>
        </w:p>
        <w:p w14:paraId="75C35AE4" w14:textId="716A5D53" w:rsidR="0088424C" w:rsidRDefault="0088424C" w:rsidP="0088424C">
          <w:pPr>
            <w:rPr>
              <w:rFonts w:asciiTheme="minorHAnsi" w:hAnsiTheme="minorHAnsi"/>
            </w:rPr>
          </w:pPr>
          <w:r>
            <w:rPr>
              <w:rFonts w:asciiTheme="minorHAnsi" w:hAnsiTheme="minorHAnsi"/>
            </w:rPr>
            <w:t xml:space="preserve">There is also an emphasis on incorporating different types of habitat as part of the demonstrations including native pocket plantings, pollinator beneficial trees and shrubs, pollinator lawns and pollinator meadows (all discussed in the Lawns to Legumes </w:t>
          </w:r>
          <w:hyperlink r:id="rId14" w:history="1">
            <w:r w:rsidRPr="005208C1">
              <w:rPr>
                <w:rStyle w:val="Hyperlink"/>
                <w:rFonts w:asciiTheme="minorHAnsi" w:hAnsiTheme="minorHAnsi"/>
              </w:rPr>
              <w:t>Habitat Guide</w:t>
            </w:r>
          </w:hyperlink>
          <w:r>
            <w:rPr>
              <w:rFonts w:asciiTheme="minorHAnsi" w:hAnsiTheme="minorHAnsi"/>
            </w:rPr>
            <w:t xml:space="preserve">). It is also encouraged to combine the demonstration neighborhoods with public and commercial pollinator plantings to strengthen the overall demonstration value of the efforts. </w:t>
          </w:r>
          <w:r w:rsidR="00136D09">
            <w:rPr>
              <w:rFonts w:asciiTheme="minorHAnsi" w:hAnsiTheme="minorHAnsi"/>
            </w:rPr>
            <w:t>Plantings can be conducted in city boulevards but approval must be given by the city for the project.</w:t>
          </w:r>
        </w:p>
        <w:p w14:paraId="35629409" w14:textId="5EC17571" w:rsidR="00FC5B76" w:rsidRDefault="00FC5B76" w:rsidP="00FC5B76">
          <w:pPr>
            <w:rPr>
              <w:rFonts w:asciiTheme="minorHAnsi" w:hAnsiTheme="minorHAnsi"/>
            </w:rPr>
          </w:pPr>
          <w:r>
            <w:rPr>
              <w:rFonts w:asciiTheme="minorHAnsi" w:hAnsiTheme="minorHAnsi"/>
            </w:rPr>
            <w:t xml:space="preserve">When practical, projects must have at least three blooming species during, spring, summer and fall, with higher diversity </w:t>
          </w:r>
          <w:r w:rsidR="00AA127C">
            <w:rPr>
              <w:rFonts w:asciiTheme="minorHAnsi" w:hAnsiTheme="minorHAnsi"/>
            </w:rPr>
            <w:t xml:space="preserve">strongly </w:t>
          </w:r>
          <w:r>
            <w:rPr>
              <w:rFonts w:asciiTheme="minorHAnsi" w:hAnsiTheme="minorHAnsi"/>
            </w:rPr>
            <w:t xml:space="preserve">encouraged. Use of milkweeds is encouraged to provide monarch habitat. </w:t>
          </w:r>
        </w:p>
        <w:p w14:paraId="21D5E4AE" w14:textId="4FAEFD98" w:rsidR="00FC5B76" w:rsidRPr="00996EB1" w:rsidRDefault="00FC5B76" w:rsidP="00FC5B76">
          <w:pPr>
            <w:pStyle w:val="ListParagraph"/>
            <w:numPr>
              <w:ilvl w:val="0"/>
              <w:numId w:val="22"/>
            </w:numPr>
            <w:rPr>
              <w:rFonts w:asciiTheme="minorHAnsi" w:hAnsiTheme="minorHAnsi"/>
              <w:sz w:val="22"/>
              <w:szCs w:val="22"/>
            </w:rPr>
          </w:pPr>
          <w:r w:rsidRPr="00996EB1">
            <w:rPr>
              <w:rFonts w:asciiTheme="minorHAnsi" w:hAnsiTheme="minorHAnsi"/>
              <w:sz w:val="22"/>
              <w:szCs w:val="22"/>
            </w:rPr>
            <w:t xml:space="preserve">Seed and plant source requirements are summarized in BWSR’s </w:t>
          </w:r>
          <w:hyperlink r:id="rId15" w:history="1">
            <w:r w:rsidRPr="009C2F5D">
              <w:rPr>
                <w:rStyle w:val="Hyperlink"/>
                <w:rFonts w:asciiTheme="minorHAnsi" w:hAnsiTheme="minorHAnsi"/>
                <w:sz w:val="22"/>
                <w:szCs w:val="22"/>
              </w:rPr>
              <w:t>Native Vegetation Establishment and Enhancement Guidelines</w:t>
            </w:r>
          </w:hyperlink>
          <w:r w:rsidRPr="00996EB1">
            <w:rPr>
              <w:rFonts w:asciiTheme="minorHAnsi" w:hAnsiTheme="minorHAnsi"/>
              <w:sz w:val="22"/>
              <w:szCs w:val="22"/>
            </w:rPr>
            <w:t>.</w:t>
          </w:r>
          <w:r w:rsidR="00374114" w:rsidRPr="00996EB1">
            <w:rPr>
              <w:rFonts w:asciiTheme="minorHAnsi" w:hAnsiTheme="minorHAnsi"/>
              <w:sz w:val="22"/>
              <w:szCs w:val="22"/>
            </w:rPr>
            <w:t xml:space="preserve"> Additional details about species for pollinator plantings are included in the Lawns to Legumes Habitat Guide and BWSR’s Pollinator Toolbox. See the Lawns to Legumes Habitat Guide for information about non-native species that can be </w:t>
          </w:r>
          <w:r w:rsidR="00315C04" w:rsidRPr="009C2F5D">
            <w:rPr>
              <w:rFonts w:asciiTheme="minorHAnsi" w:hAnsiTheme="minorHAnsi"/>
              <w:sz w:val="22"/>
              <w:szCs w:val="22"/>
            </w:rPr>
            <w:t xml:space="preserve">funded as part of the establishment of Pollinator Lawns. </w:t>
          </w:r>
          <w:r w:rsidR="006C6D3F" w:rsidRPr="009C2F5D">
            <w:rPr>
              <w:rFonts w:asciiTheme="minorHAnsi" w:hAnsiTheme="minorHAnsi"/>
              <w:sz w:val="22"/>
              <w:szCs w:val="22"/>
            </w:rPr>
            <w:t>A</w:t>
          </w:r>
          <w:r w:rsidR="006C6D3F" w:rsidRPr="009C2F5D">
            <w:rPr>
              <w:sz w:val="22"/>
              <w:szCs w:val="22"/>
            </w:rPr>
            <w:t xml:space="preserve">ny plants must be neonicotinoid (systemic pesticide) free. This </w:t>
          </w:r>
          <w:hyperlink r:id="rId16" w:history="1">
            <w:r w:rsidR="006C6D3F" w:rsidRPr="009C2F5D">
              <w:rPr>
                <w:rStyle w:val="Hyperlink"/>
                <w:sz w:val="22"/>
                <w:szCs w:val="22"/>
              </w:rPr>
              <w:t>website</w:t>
            </w:r>
          </w:hyperlink>
          <w:r w:rsidR="006C6D3F" w:rsidRPr="009C2F5D">
            <w:rPr>
              <w:sz w:val="22"/>
              <w:szCs w:val="22"/>
            </w:rPr>
            <w:t xml:space="preserve"> shows many nurseries in Minnesota that have plants that meet this criteria. The Minnesota DNR also has a</w:t>
          </w:r>
          <w:hyperlink r:id="rId17" w:history="1">
            <w:r w:rsidR="006C6D3F" w:rsidRPr="009C2F5D">
              <w:rPr>
                <w:rStyle w:val="Hyperlink"/>
                <w:sz w:val="22"/>
                <w:szCs w:val="22"/>
              </w:rPr>
              <w:t xml:space="preserve"> list of native plant vendors</w:t>
            </w:r>
          </w:hyperlink>
          <w:r w:rsidR="006C6D3F" w:rsidRPr="009C2F5D">
            <w:rPr>
              <w:sz w:val="22"/>
              <w:szCs w:val="22"/>
            </w:rPr>
            <w:t xml:space="preserve"> (it is important to check with any vendor to ensure that their plants are neonicotinoid free).</w:t>
          </w:r>
        </w:p>
        <w:p w14:paraId="5AD04092" w14:textId="05117417" w:rsidR="00FC5B76" w:rsidRDefault="00FC5B76" w:rsidP="00FC5B76">
          <w:pPr>
            <w:rPr>
              <w:rFonts w:asciiTheme="minorHAnsi" w:hAnsiTheme="minorHAnsi"/>
            </w:rPr>
          </w:pPr>
          <w:r>
            <w:rPr>
              <w:rFonts w:asciiTheme="minorHAnsi" w:hAnsiTheme="minorHAnsi"/>
            </w:rPr>
            <w:t xml:space="preserve">All projects </w:t>
          </w:r>
          <w:r w:rsidR="00315C04">
            <w:rPr>
              <w:rFonts w:asciiTheme="minorHAnsi" w:hAnsiTheme="minorHAnsi"/>
            </w:rPr>
            <w:t xml:space="preserve">are </w:t>
          </w:r>
          <w:r>
            <w:rPr>
              <w:rFonts w:asciiTheme="minorHAnsi" w:hAnsiTheme="minorHAnsi"/>
            </w:rPr>
            <w:t xml:space="preserve">encouraged to register with </w:t>
          </w:r>
          <w:r w:rsidR="00DB56F2">
            <w:rPr>
              <w:rFonts w:asciiTheme="minorHAnsi" w:hAnsiTheme="minorHAnsi"/>
            </w:rPr>
            <w:t xml:space="preserve">the </w:t>
          </w:r>
          <w:r>
            <w:rPr>
              <w:rFonts w:asciiTheme="minorHAnsi" w:hAnsiTheme="minorHAnsi"/>
            </w:rPr>
            <w:t>Xerces Society Pollinator Pledge.</w:t>
          </w:r>
        </w:p>
        <w:p w14:paraId="4A30132E" w14:textId="1D7A2596" w:rsidR="00A6053E" w:rsidRDefault="007813FE" w:rsidP="00A6053E">
          <w:pPr>
            <w:pStyle w:val="BodyText"/>
            <w:spacing w:after="0"/>
            <w:rPr>
              <w:rFonts w:cs="Calibri"/>
              <w:color w:val="0000FF"/>
              <w:u w:val="single"/>
            </w:rPr>
          </w:pPr>
          <w:r>
            <w:t xml:space="preserve">For additional public outreach tools see </w:t>
          </w:r>
          <w:r w:rsidR="00315C04">
            <w:t>resource</w:t>
          </w:r>
          <w:r w:rsidR="00AA127C">
            <w:t>s</w:t>
          </w:r>
          <w:r w:rsidR="00315C04">
            <w:t xml:space="preserve"> on BWSR’s Lawns to Legumes Page, </w:t>
          </w:r>
          <w:r>
            <w:t>BWSR’s brochure on “</w:t>
          </w:r>
          <w:hyperlink r:id="rId18" w:history="1">
            <w:r w:rsidRPr="007813FE">
              <w:rPr>
                <w:rStyle w:val="Hyperlink"/>
              </w:rPr>
              <w:t>Protecting Minnesota’s Pollinators</w:t>
            </w:r>
          </w:hyperlink>
          <w:r>
            <w:t>,” Fact Sheet on “</w:t>
          </w:r>
          <w:hyperlink r:id="rId19" w:history="1">
            <w:r w:rsidRPr="007813FE">
              <w:rPr>
                <w:rStyle w:val="Hyperlink"/>
              </w:rPr>
              <w:t>How You Can Help Pollinators</w:t>
            </w:r>
          </w:hyperlink>
          <w:r>
            <w:t xml:space="preserve">,” and </w:t>
          </w:r>
          <w:hyperlink r:id="rId20" w:history="1">
            <w:r w:rsidRPr="007813FE">
              <w:rPr>
                <w:rStyle w:val="Hyperlink"/>
              </w:rPr>
              <w:t>Featured Plant Articles</w:t>
            </w:r>
          </w:hyperlink>
          <w:r>
            <w:t xml:space="preserve"> that include </w:t>
          </w:r>
          <w:r w:rsidR="00315C04">
            <w:t xml:space="preserve">over </w:t>
          </w:r>
          <w:r>
            <w:t>seventy species for benefitting pollinators.</w:t>
          </w:r>
          <w:r w:rsidR="00A6053E">
            <w:t xml:space="preserve"> </w:t>
          </w:r>
          <w:r w:rsidR="00A6053E" w:rsidRPr="00163795">
            <w:rPr>
              <w:rFonts w:cs="Calibri"/>
              <w:color w:val="000000"/>
            </w:rPr>
            <w:t xml:space="preserve">USFWS information on </w:t>
          </w:r>
          <w:hyperlink r:id="rId21" w:history="1">
            <w:r w:rsidR="00A6053E" w:rsidRPr="00163795">
              <w:rPr>
                <w:rFonts w:cs="Calibri"/>
                <w:color w:val="0000FF"/>
                <w:u w:val="single"/>
              </w:rPr>
              <w:t>plants for Rusty Patch Bumblebee</w:t>
            </w:r>
          </w:hyperlink>
          <w:r w:rsidR="00A6053E">
            <w:rPr>
              <w:rFonts w:cs="Calibri"/>
              <w:color w:val="0000FF"/>
              <w:u w:val="single"/>
            </w:rPr>
            <w:t>.</w:t>
          </w:r>
        </w:p>
        <w:p w14:paraId="1B2073BF" w14:textId="79ED2A6E" w:rsidR="00575B6C" w:rsidRDefault="00575B6C" w:rsidP="00575B6C">
          <w:pPr>
            <w:pStyle w:val="Heading2"/>
          </w:pPr>
          <w:r>
            <w:t>Timeline</w:t>
          </w:r>
        </w:p>
        <w:p w14:paraId="4F0B6D44" w14:textId="764A05DC" w:rsidR="006812EF" w:rsidRDefault="00F24EE3" w:rsidP="006812EF">
          <w:pPr>
            <w:pStyle w:val="BodyText"/>
          </w:pPr>
          <w:r>
            <w:t xml:space="preserve">December </w:t>
          </w:r>
          <w:r w:rsidR="008B7C0A">
            <w:t>3</w:t>
          </w:r>
          <w:r>
            <w:t>, 2019</w:t>
          </w:r>
          <w:r w:rsidR="0018293B">
            <w:t xml:space="preserve"> </w:t>
          </w:r>
          <w:r w:rsidR="006812EF">
            <w:tab/>
          </w:r>
          <w:r w:rsidR="006812EF">
            <w:tab/>
          </w:r>
          <w:r w:rsidR="006812EF">
            <w:tab/>
            <w:t>Application period begins</w:t>
          </w:r>
        </w:p>
        <w:p w14:paraId="000BAC4D" w14:textId="4A83F094" w:rsidR="006812EF" w:rsidRDefault="00F24EE3" w:rsidP="006812EF">
          <w:pPr>
            <w:pStyle w:val="BodyText"/>
          </w:pPr>
          <w:r>
            <w:t>January 10, 2020</w:t>
          </w:r>
          <w:r w:rsidR="006812EF">
            <w:tab/>
          </w:r>
          <w:r w:rsidR="006812EF">
            <w:tab/>
          </w:r>
          <w:r w:rsidR="006812EF">
            <w:tab/>
            <w:t>Application deadline at 4:30 PM</w:t>
          </w:r>
        </w:p>
        <w:p w14:paraId="1FA55A6D" w14:textId="5D100F43" w:rsidR="006812EF" w:rsidRDefault="00F24EE3" w:rsidP="006812EF">
          <w:pPr>
            <w:pStyle w:val="BodyText"/>
          </w:pPr>
          <w:r>
            <w:t>January 22, 2020</w:t>
          </w:r>
          <w:r w:rsidR="006812EF">
            <w:tab/>
          </w:r>
          <w:r w:rsidR="00703246">
            <w:tab/>
          </w:r>
          <w:r w:rsidR="006812EF">
            <w:tab/>
            <w:t xml:space="preserve">BWSR Board authorizes grant awards </w:t>
          </w:r>
        </w:p>
        <w:p w14:paraId="41024BC8" w14:textId="1FEEC76E" w:rsidR="006812EF" w:rsidRDefault="00F24EE3" w:rsidP="006812EF">
          <w:pPr>
            <w:pStyle w:val="BodyText"/>
          </w:pPr>
          <w:r>
            <w:t>February</w:t>
          </w:r>
          <w:r w:rsidR="00703246">
            <w:t xml:space="preserve"> </w:t>
          </w:r>
          <w:r w:rsidR="00AE7219">
            <w:t>2020</w:t>
          </w:r>
          <w:r w:rsidR="00703246">
            <w:tab/>
            <w:t xml:space="preserve"> </w:t>
          </w:r>
          <w:r w:rsidR="00703246">
            <w:tab/>
          </w:r>
          <w:r w:rsidR="006812EF">
            <w:tab/>
          </w:r>
          <w:r w:rsidR="006812EF">
            <w:tab/>
            <w:t>BWSR grant agreements sent to recipients (proposed)</w:t>
          </w:r>
        </w:p>
        <w:p w14:paraId="3B156675" w14:textId="26657844" w:rsidR="006812EF" w:rsidRDefault="00F24EE3" w:rsidP="006812EF">
          <w:pPr>
            <w:pStyle w:val="BodyText"/>
          </w:pPr>
          <w:r>
            <w:t>April</w:t>
          </w:r>
          <w:r w:rsidR="00703246">
            <w:t xml:space="preserve"> </w:t>
          </w:r>
          <w:r w:rsidR="00416579">
            <w:t>15, 2020</w:t>
          </w:r>
          <w:r w:rsidR="006812EF">
            <w:tab/>
          </w:r>
          <w:r w:rsidR="006812EF">
            <w:tab/>
          </w:r>
          <w:r w:rsidR="006812EF">
            <w:tab/>
          </w:r>
          <w:r w:rsidR="0018293B">
            <w:tab/>
          </w:r>
          <w:r w:rsidR="00416579">
            <w:t>Wo</w:t>
          </w:r>
          <w:r w:rsidR="006812EF">
            <w:t>rk plan submittal deadline</w:t>
          </w:r>
        </w:p>
        <w:p w14:paraId="02B561D6" w14:textId="09909079" w:rsidR="0018293B" w:rsidRPr="006812EF" w:rsidRDefault="00703246" w:rsidP="006812EF">
          <w:pPr>
            <w:pStyle w:val="BodyText"/>
          </w:pPr>
          <w:r>
            <w:t>June</w:t>
          </w:r>
          <w:r w:rsidR="00416579">
            <w:t>, 2020</w:t>
          </w:r>
          <w:r w:rsidR="0018293B">
            <w:tab/>
          </w:r>
          <w:r w:rsidR="0018293B">
            <w:tab/>
          </w:r>
          <w:r w:rsidR="0018293B">
            <w:tab/>
          </w:r>
          <w:r w:rsidR="0018293B">
            <w:tab/>
            <w:t>Grant Execution deadline</w:t>
          </w:r>
        </w:p>
        <w:p w14:paraId="5F917375" w14:textId="3C28567B" w:rsidR="00575B6C" w:rsidRDefault="00575B6C" w:rsidP="00575B6C">
          <w:pPr>
            <w:pStyle w:val="Heading2"/>
          </w:pPr>
          <w:r>
            <w:t>Submittal</w:t>
          </w:r>
        </w:p>
        <w:p w14:paraId="0CF5DFB1" w14:textId="0E919454" w:rsidR="00180BF3" w:rsidRPr="00807E68" w:rsidRDefault="00180BF3" w:rsidP="00180BF3">
          <w:pPr>
            <w:spacing w:before="0" w:line="240" w:lineRule="auto"/>
            <w:rPr>
              <w:rFonts w:asciiTheme="minorHAnsi" w:hAnsiTheme="minorHAnsi"/>
            </w:rPr>
          </w:pPr>
          <w:r w:rsidRPr="00807E68">
            <w:rPr>
              <w:rFonts w:asciiTheme="minorHAnsi" w:hAnsiTheme="minorHAnsi"/>
            </w:rPr>
            <w:t>Applications will be submitted via eLINK. Eligible applicants without a current eLINK user account must submit a request to establish an eLINK account no later than 7 days prior to the application deadline. As part of the application, eLINK will require applicants to map the location of the proposed project</w:t>
          </w:r>
          <w:r w:rsidR="00C83033">
            <w:rPr>
              <w:rFonts w:asciiTheme="minorHAnsi" w:hAnsiTheme="minorHAnsi"/>
            </w:rPr>
            <w:t>(s)</w:t>
          </w:r>
          <w:r w:rsidRPr="00807E68">
            <w:rPr>
              <w:rFonts w:asciiTheme="minorHAnsi" w:hAnsiTheme="minorHAnsi"/>
            </w:rPr>
            <w:t xml:space="preserve">. </w:t>
          </w:r>
          <w:r w:rsidR="00273DD6">
            <w:rPr>
              <w:rFonts w:asciiTheme="minorHAnsi" w:hAnsiTheme="minorHAnsi"/>
            </w:rPr>
            <w:t>If registering for a new eLINK user account training will be provided for application and grant management.</w:t>
          </w:r>
        </w:p>
        <w:p w14:paraId="5C0020DF" w14:textId="77777777" w:rsidR="0018293B" w:rsidRDefault="0018293B" w:rsidP="0018293B">
          <w:pPr>
            <w:pStyle w:val="Heading2"/>
          </w:pPr>
          <w:r>
            <w:lastRenderedPageBreak/>
            <w:t>Incomplete Applications</w:t>
          </w:r>
        </w:p>
        <w:p w14:paraId="0BF9E574" w14:textId="77777777" w:rsidR="0018293B" w:rsidRDefault="0018293B" w:rsidP="0018293B">
          <w:pPr>
            <w:pStyle w:val="BodyText"/>
            <w:spacing w:after="0"/>
          </w:pPr>
          <w:r>
            <w:t>Applications that do not comply with all requirements, including incomplete or missing application components, will not be considered for funding.</w:t>
          </w:r>
        </w:p>
        <w:p w14:paraId="4A064CB3" w14:textId="77777777" w:rsidR="00575B6C" w:rsidRDefault="00575B6C" w:rsidP="00575B6C">
          <w:pPr>
            <w:pStyle w:val="Heading2"/>
          </w:pPr>
          <w:r>
            <w:t>BWSR Grant Administration</w:t>
          </w:r>
        </w:p>
        <w:p w14:paraId="6EB954C7" w14:textId="77777777" w:rsidR="00575B6C" w:rsidRPr="00FB45C2" w:rsidRDefault="00575B6C" w:rsidP="00575B6C">
          <w:pPr>
            <w:pStyle w:val="BodyText"/>
            <w:spacing w:after="0"/>
          </w:pPr>
          <w:r w:rsidRPr="002C7489">
            <w:t>BWSR reserves the right to partially fund any and all proposals based on the amount of funding available. Proposals that are deemed complete may be considered for future available funds.</w:t>
          </w:r>
        </w:p>
        <w:p w14:paraId="34F70B06" w14:textId="77777777" w:rsidR="00575B6C" w:rsidRDefault="00575B6C" w:rsidP="00575B6C">
          <w:pPr>
            <w:pStyle w:val="Heading2"/>
          </w:pPr>
          <w:r>
            <w:t>Grant Execution</w:t>
          </w:r>
        </w:p>
        <w:p w14:paraId="046EAA91" w14:textId="4ED58AEF" w:rsidR="00575B6C" w:rsidRDefault="00575B6C" w:rsidP="00575B6C">
          <w:pPr>
            <w:pStyle w:val="BodyText"/>
          </w:pPr>
          <w:r>
            <w:t xml:space="preserve">Successful </w:t>
          </w:r>
          <w:r w:rsidR="00C83033">
            <w:t xml:space="preserve">applicants </w:t>
          </w:r>
          <w:r>
            <w:t>will be required to d</w:t>
          </w:r>
          <w:r w:rsidRPr="00E97630">
            <w:t>e</w:t>
          </w:r>
          <w:r>
            <w:t>velop</w:t>
          </w:r>
          <w:r w:rsidRPr="00E97630">
            <w:t xml:space="preserve"> and</w:t>
          </w:r>
          <w:r w:rsidRPr="00847A4C">
            <w:t xml:space="preserve"> submit</w:t>
          </w:r>
          <w:r>
            <w:t xml:space="preserve"> a work plan in eLINK prior to execution of the grant agreement.</w:t>
          </w:r>
        </w:p>
        <w:p w14:paraId="5D82A889" w14:textId="77777777" w:rsidR="0018293B" w:rsidRDefault="0018293B" w:rsidP="0018293B">
          <w:pPr>
            <w:pStyle w:val="Heading2"/>
          </w:pPr>
          <w:r w:rsidRPr="00292F9B">
            <w:t>Payment Schedule</w:t>
          </w:r>
        </w:p>
        <w:p w14:paraId="7888893A" w14:textId="77777777" w:rsidR="0018293B" w:rsidRDefault="0018293B" w:rsidP="0018293B">
          <w:pPr>
            <w:rPr>
              <w:rFonts w:asciiTheme="minorHAnsi" w:hAnsiTheme="minorHAnsi" w:cs="Arial"/>
            </w:rPr>
          </w:pPr>
          <w:r w:rsidRPr="00D853AE">
            <w:rPr>
              <w:rFonts w:asciiTheme="minorHAnsi" w:hAnsiTheme="minorHAnsi" w:cs="Arial"/>
            </w:rPr>
            <w:t xml:space="preserve">Grant payments will be made </w:t>
          </w:r>
          <w:r>
            <w:rPr>
              <w:rFonts w:asciiTheme="minorHAnsi" w:hAnsiTheme="minorHAnsi" w:cs="Arial"/>
            </w:rPr>
            <w:t>on a quarterly reimbursement schedule</w:t>
          </w:r>
          <w:r w:rsidRPr="00D853AE">
            <w:rPr>
              <w:rFonts w:asciiTheme="minorHAnsi" w:hAnsiTheme="minorHAnsi" w:cs="Arial"/>
            </w:rPr>
            <w:t xml:space="preserve"> after</w:t>
          </w:r>
          <w:r>
            <w:rPr>
              <w:rFonts w:asciiTheme="minorHAnsi" w:hAnsiTheme="minorHAnsi" w:cs="Arial"/>
            </w:rPr>
            <w:t xml:space="preserve"> submission of documentation of eligible expenditures and approval by the program manager, pr</w:t>
          </w:r>
          <w:r w:rsidRPr="00D853AE">
            <w:rPr>
              <w:rFonts w:asciiTheme="minorHAnsi" w:hAnsiTheme="minorHAnsi" w:cs="Arial"/>
            </w:rPr>
            <w:t>ovided the grant applicant is in compliance with all BWSR reporting requirements for previously awarded BWSR grants.</w:t>
          </w:r>
          <w:r w:rsidRPr="00B619B3">
            <w:rPr>
              <w:rFonts w:asciiTheme="minorHAnsi" w:hAnsiTheme="minorHAnsi" w:cs="Arial"/>
              <w:highlight w:val="yellow"/>
            </w:rPr>
            <w:t xml:space="preserve">  </w:t>
          </w:r>
        </w:p>
        <w:p w14:paraId="4D57AC8C" w14:textId="77777777" w:rsidR="00575B6C" w:rsidRDefault="00575B6C" w:rsidP="00575B6C">
          <w:pPr>
            <w:pStyle w:val="Heading2"/>
          </w:pPr>
          <w:r>
            <w:t>Project Period</w:t>
          </w:r>
        </w:p>
        <w:p w14:paraId="378352F2" w14:textId="4534957F" w:rsidR="00575B6C" w:rsidRPr="00041E19" w:rsidRDefault="00575B6C" w:rsidP="00575B6C">
          <w:pPr>
            <w:pStyle w:val="BodyText"/>
            <w:spacing w:after="0"/>
          </w:pPr>
          <w:r>
            <w:t xml:space="preserve">The project period starts when the grant agreement is executed, meaning all required signatures have been obtained. Work that occurs before this date is not eligible for reimbursement with grant funds. All grants must be completed by </w:t>
          </w:r>
          <w:r w:rsidR="0018293B">
            <w:t>December 31, 2022</w:t>
          </w:r>
          <w:r>
            <w:t>.</w:t>
          </w:r>
        </w:p>
        <w:p w14:paraId="362298F7" w14:textId="77777777" w:rsidR="00575B6C" w:rsidRDefault="00575B6C" w:rsidP="00575B6C">
          <w:pPr>
            <w:pStyle w:val="Heading2"/>
          </w:pPr>
          <w:r>
            <w:t xml:space="preserve">Project Reporting Requirements </w:t>
          </w:r>
        </w:p>
        <w:p w14:paraId="685314AB" w14:textId="7FC0AACB" w:rsidR="00575B6C" w:rsidRPr="005E683C" w:rsidRDefault="00575B6C" w:rsidP="00575B6C">
          <w:pPr>
            <w:pStyle w:val="bullet2"/>
            <w:rPr>
              <w:rStyle w:val="Hyperlink"/>
              <w:rFonts w:asciiTheme="minorHAnsi" w:hAnsiTheme="minorHAnsi"/>
              <w:color w:val="auto"/>
              <w:u w:val="none"/>
            </w:rPr>
          </w:pPr>
          <w:r w:rsidRPr="005E683C">
            <w:rPr>
              <w:rFonts w:asciiTheme="minorHAnsi" w:hAnsiTheme="minorHAnsi"/>
            </w:rPr>
            <w:t xml:space="preserve">All grantees are required to report on the outcomes, activities, and accomplishments of </w:t>
          </w:r>
          <w:r w:rsidR="00F00D16">
            <w:rPr>
              <w:rFonts w:asciiTheme="minorHAnsi" w:hAnsiTheme="minorHAnsi"/>
            </w:rPr>
            <w:t>Lawns to Legumes Demonstration Neighborhood</w:t>
          </w:r>
          <w:r w:rsidR="00B76F06">
            <w:rPr>
              <w:rFonts w:asciiTheme="minorHAnsi" w:hAnsiTheme="minorHAnsi"/>
            </w:rPr>
            <w:t xml:space="preserve"> </w:t>
          </w:r>
          <w:r w:rsidRPr="005E683C">
            <w:rPr>
              <w:rFonts w:asciiTheme="minorHAnsi" w:hAnsiTheme="minorHAnsi"/>
            </w:rPr>
            <w:t xml:space="preserve">grants. All BWSR funded projects will be required to develop a work plan, including detail of each eligible activity, a description of the anticipated activity accomplishments, and grant and match funding amounts to accomplish each of the activities. All activities will be reported via the eLINK reporting system. For more information about eLINK, go to: </w:t>
          </w:r>
          <w:hyperlink r:id="rId22" w:history="1">
            <w:r w:rsidRPr="000E0407">
              <w:rPr>
                <w:rStyle w:val="Hyperlink"/>
                <w:rFonts w:asciiTheme="minorHAnsi" w:hAnsiTheme="minorHAnsi"/>
              </w:rPr>
              <w:t>http://www.b</w:t>
            </w:r>
            <w:r w:rsidR="000E0407" w:rsidRPr="000E0407">
              <w:rPr>
                <w:rStyle w:val="Hyperlink"/>
                <w:rFonts w:asciiTheme="minorHAnsi" w:hAnsiTheme="minorHAnsi"/>
              </w:rPr>
              <w:t>wsr.state.mn.us/elink</w:t>
            </w:r>
          </w:hyperlink>
          <w:r w:rsidRPr="005E683C">
            <w:rPr>
              <w:rStyle w:val="Hyperlink"/>
              <w:rFonts w:asciiTheme="minorHAnsi" w:hAnsiTheme="minorHAnsi"/>
              <w:color w:val="auto"/>
              <w:u w:val="none"/>
            </w:rPr>
            <w:t>.</w:t>
          </w:r>
        </w:p>
        <w:p w14:paraId="564CD543" w14:textId="5E035D97" w:rsidR="00575B6C" w:rsidRDefault="00575B6C" w:rsidP="00575B6C">
          <w:pPr>
            <w:pStyle w:val="bullet2"/>
            <w:rPr>
              <w:rFonts w:asciiTheme="minorHAnsi" w:hAnsiTheme="minorHAnsi"/>
            </w:rPr>
          </w:pPr>
          <w:r w:rsidRPr="005E683C">
            <w:rPr>
              <w:rFonts w:asciiTheme="minorHAnsi" w:hAnsiTheme="minorHAnsi"/>
            </w:rPr>
            <w:t xml:space="preserve">BWSR </w:t>
          </w:r>
          <w:r w:rsidR="00F00D16">
            <w:rPr>
              <w:rFonts w:asciiTheme="minorHAnsi" w:hAnsiTheme="minorHAnsi"/>
            </w:rPr>
            <w:t>Lawns to Legumes Demonstration Neighborhood Program</w:t>
          </w:r>
          <w:r w:rsidRPr="005E683C">
            <w:rPr>
              <w:rFonts w:asciiTheme="minorHAnsi" w:hAnsiTheme="minorHAnsi"/>
            </w:rPr>
            <w:t xml:space="preserve"> funds will be administered via a standard grant agreement. BWSR will use grant agreements as contracts for assurance of deliverables and compliance with appropriate statutes, rules and established policies. Willful or negligent disregard of relevant statutes, rules and policies may lead to imposition of financial penalties on the grant recipient.</w:t>
          </w:r>
        </w:p>
        <w:p w14:paraId="110A920B" w14:textId="2F487613" w:rsidR="000E0407" w:rsidRPr="005E683C" w:rsidRDefault="000E0407" w:rsidP="00575B6C">
          <w:pPr>
            <w:pStyle w:val="bullet2"/>
            <w:rPr>
              <w:rFonts w:asciiTheme="minorHAnsi" w:hAnsiTheme="minorHAnsi"/>
            </w:rPr>
          </w:pPr>
          <w:r>
            <w:rPr>
              <w:rFonts w:asciiTheme="minorHAnsi" w:hAnsiTheme="minorHAnsi"/>
            </w:rPr>
            <w:t>Grant recipients must display their program goals and major program activities on a fact sheet (or a separate webpage) that is linked to their website.</w:t>
          </w:r>
        </w:p>
        <w:p w14:paraId="5C9E4FD1" w14:textId="77777777" w:rsidR="00575B6C" w:rsidRDefault="00575B6C" w:rsidP="00575B6C">
          <w:pPr>
            <w:pStyle w:val="Heading2"/>
          </w:pPr>
          <w:r>
            <w:lastRenderedPageBreak/>
            <w:t xml:space="preserve">Grants and Public Information </w:t>
          </w:r>
        </w:p>
        <w:p w14:paraId="4068F505" w14:textId="77777777" w:rsidR="00575B6C" w:rsidRDefault="00575B6C" w:rsidP="00575B6C">
          <w:pPr>
            <w:pStyle w:val="BodyText"/>
            <w:spacing w:after="0"/>
          </w:pPr>
          <w:r>
            <w:t>Under Minnesota Statute 13.599, responses to a Request for Proposals are nonpublic until the application deadline is reached. At that time, the name and address of the applicant, and the amount requested becomes public. All other data is nonpublic until the negotiation of the grant agreement with the selected grantee is completed. After the application evaluation process is completed, all data (except trade secret data) becomes public. Data created during the evaluation process is nonpublic until the negotiation of the grant agreement with the selected grantee(s) is completed.</w:t>
          </w:r>
        </w:p>
        <w:p w14:paraId="158C9078" w14:textId="77777777" w:rsidR="00575B6C" w:rsidRDefault="00575B6C" w:rsidP="00575B6C">
          <w:pPr>
            <w:pStyle w:val="Heading2"/>
          </w:pPr>
          <w:r>
            <w:t xml:space="preserve">Conflict of Interest </w:t>
          </w:r>
        </w:p>
        <w:p w14:paraId="4C8F024A" w14:textId="77777777" w:rsidR="00575B6C" w:rsidRDefault="00575B6C" w:rsidP="00575B6C">
          <w:pPr>
            <w:pStyle w:val="BodyText"/>
          </w:pPr>
          <w:r>
            <w:t xml:space="preserve">State Grant Policy 08-01 (see </w:t>
          </w:r>
          <w:hyperlink r:id="rId23" w:history="1">
            <w:r w:rsidRPr="00650D50">
              <w:rPr>
                <w:rStyle w:val="Hyperlink"/>
              </w:rPr>
              <w:t>http://www.admin.state.mn.us/ogm_policies_and_statute.html</w:t>
            </w:r>
          </w:hyperlink>
          <w:r>
            <w:t xml:space="preserve">) Conflict of Interest for State Grant-Making, also applies to BWSR grantees. Grantees’ conflicts of interest are generally considered organizational conflicts of interest. Organizational conflicts of interest occur when: </w:t>
          </w:r>
        </w:p>
        <w:p w14:paraId="2557C1A7" w14:textId="77777777" w:rsidR="00575B6C" w:rsidRPr="005E683C" w:rsidRDefault="00575B6C" w:rsidP="00575B6C">
          <w:pPr>
            <w:pStyle w:val="List"/>
            <w:numPr>
              <w:ilvl w:val="0"/>
              <w:numId w:val="4"/>
            </w:numPr>
            <w:ind w:left="720"/>
            <w:rPr>
              <w:rFonts w:asciiTheme="minorHAnsi" w:hAnsiTheme="minorHAnsi"/>
            </w:rPr>
          </w:pPr>
          <w:r w:rsidRPr="005E683C">
            <w:rPr>
              <w:rFonts w:asciiTheme="minorHAnsi" w:hAnsiTheme="minorHAnsi"/>
            </w:rPr>
            <w:t xml:space="preserve">A grantee is unable or potentially unable to render impartial assistance or advice due to competing duties or loyalties, </w:t>
          </w:r>
        </w:p>
        <w:p w14:paraId="32ACE54E" w14:textId="77777777" w:rsidR="00575B6C" w:rsidRPr="005E683C" w:rsidRDefault="00575B6C" w:rsidP="00575B6C">
          <w:pPr>
            <w:pStyle w:val="List"/>
            <w:numPr>
              <w:ilvl w:val="0"/>
              <w:numId w:val="4"/>
            </w:numPr>
            <w:ind w:left="720"/>
            <w:rPr>
              <w:rFonts w:asciiTheme="minorHAnsi" w:hAnsiTheme="minorHAnsi"/>
            </w:rPr>
          </w:pPr>
          <w:r w:rsidRPr="005E683C">
            <w:rPr>
              <w:rFonts w:asciiTheme="minorHAnsi" w:hAnsiTheme="minorHAnsi"/>
            </w:rPr>
            <w:t xml:space="preserve">A grantee’s objectivity in carrying out the grant is or might be otherwise impaired due to competing duties or loyalties, or </w:t>
          </w:r>
        </w:p>
        <w:p w14:paraId="2E121ED7" w14:textId="76FA560B" w:rsidR="00C83033" w:rsidRPr="00C83033" w:rsidRDefault="00575B6C" w:rsidP="00C83033">
          <w:pPr>
            <w:pStyle w:val="List"/>
            <w:numPr>
              <w:ilvl w:val="0"/>
              <w:numId w:val="4"/>
            </w:numPr>
            <w:ind w:left="720"/>
            <w:rPr>
              <w:rFonts w:asciiTheme="minorHAnsi" w:hAnsiTheme="minorHAnsi"/>
            </w:rPr>
          </w:pPr>
          <w:r w:rsidRPr="005E683C">
            <w:rPr>
              <w:rFonts w:asciiTheme="minorHAnsi" w:hAnsiTheme="minorHAnsi"/>
            </w:rPr>
            <w:t xml:space="preserve">A grantee or potential grantee has an unfair competitive advantage through being furnished unauthorized proprietary information or source selection information that is not available to all competitors. </w:t>
          </w:r>
        </w:p>
        <w:p w14:paraId="33C4D855" w14:textId="77777777" w:rsidR="00FB45C2" w:rsidRDefault="00FB45C2" w:rsidP="00864005">
          <w:pPr>
            <w:pStyle w:val="Heading2"/>
          </w:pPr>
          <w:r>
            <w:t>Questions</w:t>
          </w:r>
        </w:p>
        <w:p w14:paraId="0FE393A3" w14:textId="77777777" w:rsidR="00416579" w:rsidRDefault="00FB45C2" w:rsidP="00B3067A">
          <w:pPr>
            <w:pStyle w:val="BodyText"/>
          </w:pPr>
          <w:r>
            <w:t xml:space="preserve">For more information concerning the request for proposal, contact BWSR’s </w:t>
          </w:r>
          <w:r w:rsidR="00F00D16">
            <w:t>Lawns to Legumes Demonstration Neighborhood</w:t>
          </w:r>
          <w:r w:rsidR="002E7E29">
            <w:t xml:space="preserve"> Program</w:t>
          </w:r>
          <w:r w:rsidR="001B51B8">
            <w:t xml:space="preserve"> Coordinator</w:t>
          </w:r>
          <w:r w:rsidR="000C0D73">
            <w:t>s</w:t>
          </w:r>
          <w:r w:rsidR="00416579">
            <w:t xml:space="preserve">: </w:t>
          </w:r>
        </w:p>
        <w:p w14:paraId="714DB49B" w14:textId="4AC56F81" w:rsidR="00405EDE" w:rsidRDefault="00416579" w:rsidP="00416579">
          <w:pPr>
            <w:pStyle w:val="BodyText"/>
            <w:ind w:firstLine="720"/>
          </w:pPr>
          <w:r>
            <w:t>Technical program questions contact:</w:t>
          </w:r>
          <w:r w:rsidR="001B51B8">
            <w:t xml:space="preserve"> </w:t>
          </w:r>
          <w:r>
            <w:t>Dan Shaw at</w:t>
          </w:r>
          <w:r w:rsidR="00A6053E">
            <w:t xml:space="preserve"> </w:t>
          </w:r>
          <w:hyperlink r:id="rId24" w:history="1">
            <w:r w:rsidRPr="001026C8">
              <w:rPr>
                <w:rStyle w:val="Hyperlink"/>
              </w:rPr>
              <w:t>dan.shaw@state.mn.us</w:t>
            </w:r>
          </w:hyperlink>
          <w:r>
            <w:t xml:space="preserve"> or at </w:t>
          </w:r>
          <w:r w:rsidR="00C9305B">
            <w:t>612-</w:t>
          </w:r>
          <w:r w:rsidR="00EB117D">
            <w:t>236-6291</w:t>
          </w:r>
        </w:p>
        <w:p w14:paraId="36CED139" w14:textId="77777777" w:rsidR="002D4118" w:rsidRDefault="002D4118" w:rsidP="00416579">
          <w:pPr>
            <w:pStyle w:val="BodyText"/>
            <w:ind w:firstLine="720"/>
          </w:pPr>
        </w:p>
        <w:p w14:paraId="015400A9" w14:textId="77777777" w:rsidR="00405EDE" w:rsidRDefault="00405EDE" w:rsidP="00B3067A">
          <w:pPr>
            <w:pStyle w:val="BodyText"/>
          </w:pPr>
        </w:p>
        <w:p w14:paraId="21AC0907" w14:textId="4C72F5D4" w:rsidR="00EF5C19" w:rsidRPr="00174A52" w:rsidRDefault="006B7383" w:rsidP="00B3067A">
          <w:pPr>
            <w:pStyle w:val="BodyText"/>
            <w:rPr>
              <w:sz w:val="2"/>
            </w:rPr>
            <w:sectPr w:rsidR="00EF5C19" w:rsidRPr="00174A52" w:rsidSect="00A84C3C">
              <w:headerReference w:type="even" r:id="rId25"/>
              <w:headerReference w:type="default" r:id="rId26"/>
              <w:footerReference w:type="default" r:id="rId27"/>
              <w:headerReference w:type="first" r:id="rId28"/>
              <w:footerReference w:type="first" r:id="rId29"/>
              <w:type w:val="continuous"/>
              <w:pgSz w:w="12240" w:h="15840" w:code="1"/>
              <w:pgMar w:top="1440" w:right="1080" w:bottom="720" w:left="1080" w:header="0" w:footer="504" w:gutter="0"/>
              <w:cols w:space="720"/>
              <w:titlePg/>
              <w:docGrid w:linePitch="326"/>
            </w:sectPr>
          </w:pPr>
        </w:p>
      </w:sdtContent>
    </w:sdt>
    <w:p w14:paraId="5FE30458" w14:textId="77777777" w:rsidR="00273463" w:rsidRPr="00174A52" w:rsidRDefault="00273463" w:rsidP="00B3067A">
      <w:pPr>
        <w:tabs>
          <w:tab w:val="left" w:pos="1380"/>
        </w:tabs>
        <w:spacing w:line="22" w:lineRule="atLeast"/>
        <w:rPr>
          <w:sz w:val="2"/>
          <w:lang w:bidi="ar-SA"/>
        </w:rPr>
      </w:pPr>
    </w:p>
    <w:sectPr w:rsidR="00273463" w:rsidRPr="00174A52" w:rsidSect="00A84C3C">
      <w:headerReference w:type="even" r:id="rId30"/>
      <w:headerReference w:type="default" r:id="rId31"/>
      <w:footerReference w:type="even" r:id="rId32"/>
      <w:footerReference w:type="default" r:id="rId33"/>
      <w:headerReference w:type="first" r:id="rId34"/>
      <w:footerReference w:type="first" r:id="rId35"/>
      <w:type w:val="continuous"/>
      <w:pgSz w:w="12240" w:h="15840" w:code="1"/>
      <w:pgMar w:top="1440" w:right="1080" w:bottom="720" w:left="1080" w:header="57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68D62" w14:textId="77777777" w:rsidR="006B7383" w:rsidRDefault="006B7383">
      <w:r>
        <w:separator/>
      </w:r>
    </w:p>
  </w:endnote>
  <w:endnote w:type="continuationSeparator" w:id="0">
    <w:p w14:paraId="06CDDFA5" w14:textId="77777777" w:rsidR="006B7383" w:rsidRDefault="006B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03474" w14:textId="203516E6" w:rsidR="00A84C3C" w:rsidRPr="00BE3444" w:rsidRDefault="00A84C3C" w:rsidP="00BE3444">
    <w:pPr>
      <w:pBdr>
        <w:top w:val="single" w:sz="4" w:space="10" w:color="BFBFBF"/>
      </w:pBdr>
      <w:tabs>
        <w:tab w:val="right" w:pos="10080"/>
      </w:tabs>
      <w:rPr>
        <w:sz w:val="18"/>
        <w:szCs w:val="18"/>
      </w:rPr>
    </w:pPr>
    <w:r>
      <w:rPr>
        <w:rFonts w:asciiTheme="minorHAnsi" w:hAnsiTheme="minorHAnsi"/>
        <w:sz w:val="18"/>
        <w:szCs w:val="18"/>
      </w:rPr>
      <w:ptab w:relativeTo="margin" w:alignment="center" w:leader="none"/>
    </w:r>
    <w:r>
      <w:rPr>
        <w:rFonts w:asciiTheme="minorHAnsi" w:hAnsiTheme="minorHAnsi"/>
        <w:sz w:val="18"/>
        <w:szCs w:val="18"/>
      </w:rPr>
      <w:t>www.bwsr.state.mn.us</w:t>
    </w:r>
    <w:r w:rsidRPr="00BE3444">
      <w:rPr>
        <w:sz w:val="18"/>
        <w:szCs w:val="18"/>
      </w:rPr>
      <w:tab/>
    </w:r>
    <w:r w:rsidRPr="00BE3444">
      <w:rPr>
        <w:sz w:val="18"/>
        <w:szCs w:val="18"/>
      </w:rPr>
      <w:fldChar w:fldCharType="begin"/>
    </w:r>
    <w:r w:rsidRPr="00BE3444">
      <w:rPr>
        <w:sz w:val="18"/>
        <w:szCs w:val="18"/>
      </w:rPr>
      <w:instrText xml:space="preserve"> PAGE   \* MERGEFORMAT </w:instrText>
    </w:r>
    <w:r w:rsidRPr="00BE3444">
      <w:rPr>
        <w:sz w:val="18"/>
        <w:szCs w:val="18"/>
      </w:rPr>
      <w:fldChar w:fldCharType="separate"/>
    </w:r>
    <w:r w:rsidR="00C83033">
      <w:rPr>
        <w:noProof/>
        <w:sz w:val="18"/>
        <w:szCs w:val="18"/>
      </w:rPr>
      <w:t>6</w:t>
    </w:r>
    <w:r w:rsidRPr="00BE344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833AE" w14:textId="709D14BB" w:rsidR="00A84C3C" w:rsidRPr="00BE3444" w:rsidRDefault="00A84C3C" w:rsidP="00BE3444">
    <w:pPr>
      <w:pBdr>
        <w:top w:val="single" w:sz="4" w:space="10" w:color="BFBFBF"/>
      </w:pBdr>
      <w:tabs>
        <w:tab w:val="right" w:pos="10080"/>
      </w:tabs>
      <w:rPr>
        <w:sz w:val="18"/>
        <w:szCs w:val="18"/>
      </w:rPr>
    </w:pPr>
    <w:r>
      <w:rPr>
        <w:rFonts w:asciiTheme="minorHAnsi" w:hAnsiTheme="minorHAnsi"/>
        <w:sz w:val="18"/>
        <w:szCs w:val="18"/>
      </w:rPr>
      <w:ptab w:relativeTo="margin" w:alignment="center" w:leader="none"/>
    </w:r>
    <w:r>
      <w:rPr>
        <w:rFonts w:asciiTheme="minorHAnsi" w:hAnsiTheme="minorHAnsi"/>
        <w:sz w:val="18"/>
        <w:szCs w:val="18"/>
      </w:rPr>
      <w:t>www.bwsr.state.mn.us</w:t>
    </w:r>
    <w:r w:rsidRPr="00BE3444">
      <w:rPr>
        <w:sz w:val="18"/>
        <w:szCs w:val="18"/>
      </w:rPr>
      <w:tab/>
    </w:r>
    <w:r w:rsidRPr="00BE3444">
      <w:rPr>
        <w:sz w:val="18"/>
        <w:szCs w:val="18"/>
      </w:rPr>
      <w:fldChar w:fldCharType="begin"/>
    </w:r>
    <w:r w:rsidRPr="00BE3444">
      <w:rPr>
        <w:sz w:val="18"/>
        <w:szCs w:val="18"/>
      </w:rPr>
      <w:instrText xml:space="preserve"> PAGE   \* MERGEFORMAT </w:instrText>
    </w:r>
    <w:r w:rsidRPr="00BE3444">
      <w:rPr>
        <w:sz w:val="18"/>
        <w:szCs w:val="18"/>
      </w:rPr>
      <w:fldChar w:fldCharType="separate"/>
    </w:r>
    <w:r w:rsidR="00734F50">
      <w:rPr>
        <w:noProof/>
        <w:sz w:val="18"/>
        <w:szCs w:val="18"/>
      </w:rPr>
      <w:t>1</w:t>
    </w:r>
    <w:r w:rsidRPr="00BE3444">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00299" w14:textId="77777777" w:rsidR="00990E51" w:rsidRDefault="00990E5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50A65" w14:textId="77777777" w:rsidR="00990E51" w:rsidRDefault="00990E5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D2E40" w14:textId="77777777" w:rsidR="00AD39DA" w:rsidRPr="00AD39DA" w:rsidRDefault="00AD39DA" w:rsidP="00110B79">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01443" w14:textId="77777777" w:rsidR="006B7383" w:rsidRDefault="006B7383">
      <w:r>
        <w:separator/>
      </w:r>
    </w:p>
  </w:footnote>
  <w:footnote w:type="continuationSeparator" w:id="0">
    <w:p w14:paraId="0054AE5A" w14:textId="77777777" w:rsidR="006B7383" w:rsidRDefault="006B7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631CB" w14:textId="05FC04B5" w:rsidR="00175C53" w:rsidRDefault="00175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18663" w14:textId="304D4B5A" w:rsidR="00175C53" w:rsidRDefault="00175C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B6668" w14:textId="2900279A" w:rsidR="00A84C3C" w:rsidRPr="00BE3444" w:rsidRDefault="002B656E" w:rsidP="00726575">
    <w:pPr>
      <w:tabs>
        <w:tab w:val="right" w:pos="10080"/>
      </w:tabs>
      <w:spacing w:before="360"/>
      <w:rPr>
        <w:color w:val="003865"/>
      </w:rPr>
    </w:pPr>
    <w:r>
      <w:rPr>
        <w:noProof/>
        <w:color w:val="FFFFFF" w:themeColor="background1"/>
        <w:lang w:bidi="ar-SA"/>
      </w:rPr>
      <w:drawing>
        <wp:inline distT="0" distB="0" distL="0" distR="0" wp14:anchorId="658346F9" wp14:editId="7846A75B">
          <wp:extent cx="5915025" cy="834441"/>
          <wp:effectExtent l="0" t="0" r="0" b="381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SR Logo CMYK (Reverse).eps"/>
                  <pic:cNvPicPr/>
                </pic:nvPicPr>
                <pic:blipFill rotWithShape="1">
                  <a:blip r:embed="rId1">
                    <a:extLst>
                      <a:ext uri="{28A0092B-C50C-407E-A947-70E740481C1C}">
                        <a14:useLocalDpi xmlns:a14="http://schemas.microsoft.com/office/drawing/2010/main" val="0"/>
                      </a:ext>
                    </a:extLst>
                  </a:blip>
                  <a:srcRect t="75235"/>
                  <a:stretch/>
                </pic:blipFill>
                <pic:spPr bwMode="auto">
                  <a:xfrm>
                    <a:off x="0" y="0"/>
                    <a:ext cx="5996861" cy="845986"/>
                  </a:xfrm>
                  <a:prstGeom prst="rect">
                    <a:avLst/>
                  </a:prstGeom>
                  <a:ln>
                    <a:noFill/>
                  </a:ln>
                  <a:extLst>
                    <a:ext uri="{53640926-AAD7-44D8-BBD7-CCE9431645EC}">
                      <a14:shadowObscured xmlns:a14="http://schemas.microsoft.com/office/drawing/2010/main"/>
                    </a:ext>
                  </a:extLst>
                </pic:spPr>
              </pic:pic>
            </a:graphicData>
          </a:graphic>
        </wp:inline>
      </w:drawing>
    </w:r>
    <w:r w:rsidR="00A84C3C">
      <w:rPr>
        <w:noProof/>
        <w:color w:val="FFFFFF" w:themeColor="background1"/>
        <w:lang w:bidi="ar-SA"/>
      </w:rPr>
      <mc:AlternateContent>
        <mc:Choice Requires="wps">
          <w:drawing>
            <wp:anchor distT="0" distB="0" distL="114300" distR="114300" simplePos="0" relativeHeight="251657216" behindDoc="1" locked="0" layoutInCell="1" allowOverlap="1" wp14:anchorId="498F3349" wp14:editId="15AF60A6">
              <wp:simplePos x="0" y="0"/>
              <wp:positionH relativeFrom="page">
                <wp:align>left</wp:align>
              </wp:positionH>
              <wp:positionV relativeFrom="paragraph">
                <wp:posOffset>0</wp:posOffset>
              </wp:positionV>
              <wp:extent cx="7808792" cy="1355835"/>
              <wp:effectExtent l="0" t="0" r="20955" b="15875"/>
              <wp:wrapNone/>
              <wp:docPr id="1" name="Rectangle 1" descr="decorative element"/>
              <wp:cNvGraphicFramePr/>
              <a:graphic xmlns:a="http://schemas.openxmlformats.org/drawingml/2006/main">
                <a:graphicData uri="http://schemas.microsoft.com/office/word/2010/wordprocessingShape">
                  <wps:wsp>
                    <wps:cNvSpPr/>
                    <wps:spPr>
                      <a:xfrm>
                        <a:off x="0" y="0"/>
                        <a:ext cx="7808792" cy="13558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A4453" id="Rectangle 1" o:spid="_x0000_s1026" alt="decorative element" style="position:absolute;margin-left:0;margin-top:0;width:614.85pt;height:106.7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" fillcolor="#003865 [3204]" strokecolor="#001b32 [1604]" strokeweight=".85pt">
              <w10:wrap anchorx="page"/>
            </v:rect>
          </w:pict>
        </mc:Fallback>
      </mc:AlternateContent>
    </w:r>
    <w:r w:rsidR="00726575">
      <w:rPr>
        <w:color w:val="003865"/>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AAD4F" w14:textId="4D3DC92F" w:rsidR="00990E51" w:rsidRDefault="00990E5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BC027" w14:textId="565BF2E7" w:rsidR="00990E51" w:rsidRDefault="00990E5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45CF4" w14:textId="20508CFF" w:rsidR="009F6B2C" w:rsidRPr="00BE3444" w:rsidRDefault="009F6B2C">
    <w:pPr>
      <w:rPr>
        <w:color w:val="00386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4ACE"/>
    <w:multiLevelType w:val="hybridMultilevel"/>
    <w:tmpl w:val="FBA8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E1505"/>
    <w:multiLevelType w:val="hybridMultilevel"/>
    <w:tmpl w:val="25C0A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A91F19"/>
    <w:multiLevelType w:val="hybridMultilevel"/>
    <w:tmpl w:val="6A940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E2F22"/>
    <w:multiLevelType w:val="hybridMultilevel"/>
    <w:tmpl w:val="0AC8E534"/>
    <w:lvl w:ilvl="0" w:tplc="7AFEBF9C">
      <w:start w:val="1"/>
      <w:numFmt w:val="bullet"/>
      <w:pStyle w:val="BBulletlevel1"/>
      <w:lvlText w:val=""/>
      <w:lvlJc w:val="left"/>
      <w:pPr>
        <w:tabs>
          <w:tab w:val="num" w:pos="720"/>
        </w:tabs>
        <w:ind w:left="720" w:hanging="360"/>
      </w:pPr>
      <w:rPr>
        <w:rFonts w:ascii="Wingdings" w:hAnsi="Wingdings" w:hint="default"/>
        <w:color w:val="666666" w:themeColor="text2" w:themeTint="99"/>
      </w:rPr>
    </w:lvl>
    <w:lvl w:ilvl="1" w:tplc="60EE28DA">
      <w:start w:val="1"/>
      <w:numFmt w:val="bullet"/>
      <w:lvlText w:val=""/>
      <w:lvlJc w:val="left"/>
      <w:pPr>
        <w:ind w:left="1800" w:hanging="360"/>
      </w:pPr>
      <w:rPr>
        <w:rFonts w:ascii="Wingdings" w:hAnsi="Wingdings" w:hint="default"/>
        <w:color w:val="AFE56C" w:themeColor="accent2" w:themeTint="99"/>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8511E2"/>
    <w:multiLevelType w:val="hybridMultilevel"/>
    <w:tmpl w:val="669CEBA2"/>
    <w:lvl w:ilvl="0" w:tplc="651A1944">
      <w:start w:val="1"/>
      <w:numFmt w:val="bullet"/>
      <w:pStyle w:val="bullet2"/>
      <w:lvlText w:val=""/>
      <w:lvlJc w:val="left"/>
      <w:pPr>
        <w:ind w:left="360" w:hanging="360"/>
      </w:pPr>
      <w:rPr>
        <w:rFonts w:ascii="Wingdings" w:hAnsi="Wingdings" w:hint="default"/>
        <w:color w:val="78BE21" w:themeColor="accent2"/>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B21F75"/>
    <w:multiLevelType w:val="hybridMultilevel"/>
    <w:tmpl w:val="BE2AE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5552D"/>
    <w:multiLevelType w:val="hybridMultilevel"/>
    <w:tmpl w:val="CB9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36C7E"/>
    <w:multiLevelType w:val="hybridMultilevel"/>
    <w:tmpl w:val="88B61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5A8D15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5D4F80"/>
    <w:multiLevelType w:val="hybridMultilevel"/>
    <w:tmpl w:val="5C1C1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72F26"/>
    <w:multiLevelType w:val="hybridMultilevel"/>
    <w:tmpl w:val="201E8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A65D13"/>
    <w:multiLevelType w:val="hybridMultilevel"/>
    <w:tmpl w:val="F9221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7298F"/>
    <w:multiLevelType w:val="hybridMultilevel"/>
    <w:tmpl w:val="0B3A2380"/>
    <w:lvl w:ilvl="0" w:tplc="F7CAC27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95CC3"/>
    <w:multiLevelType w:val="hybridMultilevel"/>
    <w:tmpl w:val="F0CC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E78C6"/>
    <w:multiLevelType w:val="hybridMultilevel"/>
    <w:tmpl w:val="E766E7A6"/>
    <w:lvl w:ilvl="0" w:tplc="734A7B64">
      <w:start w:val="1"/>
      <w:numFmt w:val="bullet"/>
      <w:pStyle w:val="BBulletlevel2"/>
      <w:lvlText w:val=""/>
      <w:lvlJc w:val="left"/>
      <w:pPr>
        <w:tabs>
          <w:tab w:val="num" w:pos="720"/>
        </w:tabs>
        <w:ind w:left="720" w:hanging="360"/>
      </w:pPr>
      <w:rPr>
        <w:rFonts w:ascii="Wingdings" w:hAnsi="Wingdings" w:hint="default"/>
        <w:color w:val="C9EE9D" w:themeColor="accent2" w:themeTint="66"/>
        <w:sz w:val="18"/>
        <w:szCs w:val="1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B86F2C"/>
    <w:multiLevelType w:val="hybridMultilevel"/>
    <w:tmpl w:val="75D8498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E25271"/>
    <w:multiLevelType w:val="hybridMultilevel"/>
    <w:tmpl w:val="25AEE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C30B1C"/>
    <w:multiLevelType w:val="hybridMultilevel"/>
    <w:tmpl w:val="B93CC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DE1BE5"/>
    <w:multiLevelType w:val="hybridMultilevel"/>
    <w:tmpl w:val="D1D67860"/>
    <w:lvl w:ilvl="0" w:tplc="7004A166">
      <w:start w:val="1"/>
      <w:numFmt w:val="bullet"/>
      <w:pStyle w:val="List"/>
      <w:lvlText w:val=""/>
      <w:lvlJc w:val="left"/>
      <w:pPr>
        <w:ind w:left="1080" w:hanging="360"/>
      </w:pPr>
      <w:rPr>
        <w:rFonts w:ascii="Wingdings" w:hAnsi="Wingdings" w:hint="default"/>
        <w:color w:val="78BE21" w:themeColor="accent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6328E3"/>
    <w:multiLevelType w:val="hybridMultilevel"/>
    <w:tmpl w:val="BB0A131C"/>
    <w:lvl w:ilvl="0" w:tplc="F25092D0">
      <w:start w:val="1"/>
      <w:numFmt w:val="decimal"/>
      <w:lvlText w:val="%1."/>
      <w:lvlJc w:val="left"/>
      <w:pPr>
        <w:ind w:left="360" w:hanging="360"/>
      </w:pPr>
      <w:rPr>
        <w:rFonts w:hint="default"/>
        <w:color w:val="auto"/>
        <w:sz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649A2F36"/>
    <w:multiLevelType w:val="hybridMultilevel"/>
    <w:tmpl w:val="2EE6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403995"/>
    <w:multiLevelType w:val="hybridMultilevel"/>
    <w:tmpl w:val="FFCE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696AD3"/>
    <w:multiLevelType w:val="hybridMultilevel"/>
    <w:tmpl w:val="C9AC4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B0498"/>
    <w:multiLevelType w:val="hybridMultilevel"/>
    <w:tmpl w:val="84B8F5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
  </w:num>
  <w:num w:numId="3">
    <w:abstractNumId w:val="3"/>
  </w:num>
  <w:num w:numId="4">
    <w:abstractNumId w:val="18"/>
  </w:num>
  <w:num w:numId="5">
    <w:abstractNumId w:val="7"/>
  </w:num>
  <w:num w:numId="6">
    <w:abstractNumId w:val="2"/>
  </w:num>
  <w:num w:numId="7">
    <w:abstractNumId w:val="14"/>
  </w:num>
  <w:num w:numId="8">
    <w:abstractNumId w:val="5"/>
  </w:num>
  <w:num w:numId="9">
    <w:abstractNumId w:val="19"/>
  </w:num>
  <w:num w:numId="10">
    <w:abstractNumId w:val="21"/>
  </w:num>
  <w:num w:numId="11">
    <w:abstractNumId w:val="1"/>
  </w:num>
  <w:num w:numId="12">
    <w:abstractNumId w:val="13"/>
  </w:num>
  <w:num w:numId="13">
    <w:abstractNumId w:val="11"/>
  </w:num>
  <w:num w:numId="14">
    <w:abstractNumId w:val="22"/>
  </w:num>
  <w:num w:numId="15">
    <w:abstractNumId w:val="20"/>
  </w:num>
  <w:num w:numId="16">
    <w:abstractNumId w:val="15"/>
  </w:num>
  <w:num w:numId="17">
    <w:abstractNumId w:val="8"/>
  </w:num>
  <w:num w:numId="18">
    <w:abstractNumId w:val="0"/>
  </w:num>
  <w:num w:numId="19">
    <w:abstractNumId w:val="12"/>
  </w:num>
  <w:num w:numId="20">
    <w:abstractNumId w:val="6"/>
  </w:num>
  <w:num w:numId="21">
    <w:abstractNumId w:val="16"/>
  </w:num>
  <w:num w:numId="22">
    <w:abstractNumId w:val="10"/>
  </w:num>
  <w:num w:numId="2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518"/>
    <w:rsid w:val="00002DEC"/>
    <w:rsid w:val="00002F01"/>
    <w:rsid w:val="000065AC"/>
    <w:rsid w:val="000068F8"/>
    <w:rsid w:val="00006A0A"/>
    <w:rsid w:val="0002011F"/>
    <w:rsid w:val="000329A8"/>
    <w:rsid w:val="00041E19"/>
    <w:rsid w:val="00056085"/>
    <w:rsid w:val="00057C56"/>
    <w:rsid w:val="00064B90"/>
    <w:rsid w:val="00070A2C"/>
    <w:rsid w:val="0007374A"/>
    <w:rsid w:val="000756CC"/>
    <w:rsid w:val="00077DB6"/>
    <w:rsid w:val="00080404"/>
    <w:rsid w:val="00081067"/>
    <w:rsid w:val="00084742"/>
    <w:rsid w:val="000862B6"/>
    <w:rsid w:val="00091E3B"/>
    <w:rsid w:val="00093B62"/>
    <w:rsid w:val="000A54C5"/>
    <w:rsid w:val="000B0A75"/>
    <w:rsid w:val="000B2E68"/>
    <w:rsid w:val="000C0D73"/>
    <w:rsid w:val="000C3708"/>
    <w:rsid w:val="000C3761"/>
    <w:rsid w:val="000C7373"/>
    <w:rsid w:val="000D5958"/>
    <w:rsid w:val="000D6075"/>
    <w:rsid w:val="000E0407"/>
    <w:rsid w:val="000E308E"/>
    <w:rsid w:val="000E313B"/>
    <w:rsid w:val="000E3E9D"/>
    <w:rsid w:val="000F4BB1"/>
    <w:rsid w:val="00110B79"/>
    <w:rsid w:val="00134D00"/>
    <w:rsid w:val="00135082"/>
    <w:rsid w:val="00135DC7"/>
    <w:rsid w:val="00136D09"/>
    <w:rsid w:val="001418E5"/>
    <w:rsid w:val="00143214"/>
    <w:rsid w:val="00147ED1"/>
    <w:rsid w:val="001500D6"/>
    <w:rsid w:val="0015675E"/>
    <w:rsid w:val="00157174"/>
    <w:rsid w:val="00157C41"/>
    <w:rsid w:val="00166199"/>
    <w:rsid w:val="001661D9"/>
    <w:rsid w:val="001708EC"/>
    <w:rsid w:val="00170E70"/>
    <w:rsid w:val="00174A52"/>
    <w:rsid w:val="00175C53"/>
    <w:rsid w:val="00175CDD"/>
    <w:rsid w:val="00180BF3"/>
    <w:rsid w:val="00181BD1"/>
    <w:rsid w:val="0018293B"/>
    <w:rsid w:val="00186DD8"/>
    <w:rsid w:val="001870B1"/>
    <w:rsid w:val="00187691"/>
    <w:rsid w:val="001925A8"/>
    <w:rsid w:val="0019673D"/>
    <w:rsid w:val="00197518"/>
    <w:rsid w:val="00197A14"/>
    <w:rsid w:val="001A013D"/>
    <w:rsid w:val="001A07EE"/>
    <w:rsid w:val="001A46BB"/>
    <w:rsid w:val="001B51B8"/>
    <w:rsid w:val="001B7D48"/>
    <w:rsid w:val="001C4D25"/>
    <w:rsid w:val="001C4E5C"/>
    <w:rsid w:val="001C55E0"/>
    <w:rsid w:val="001D2852"/>
    <w:rsid w:val="001D3A04"/>
    <w:rsid w:val="001E0CA8"/>
    <w:rsid w:val="001E5573"/>
    <w:rsid w:val="001E5ECF"/>
    <w:rsid w:val="001E7113"/>
    <w:rsid w:val="001F7E5D"/>
    <w:rsid w:val="00201ADE"/>
    <w:rsid w:val="0021062E"/>
    <w:rsid w:val="00211728"/>
    <w:rsid w:val="00211CA3"/>
    <w:rsid w:val="00220A0F"/>
    <w:rsid w:val="00222A49"/>
    <w:rsid w:val="0022552E"/>
    <w:rsid w:val="002277DB"/>
    <w:rsid w:val="00227E68"/>
    <w:rsid w:val="00230A1F"/>
    <w:rsid w:val="00230D8B"/>
    <w:rsid w:val="00232F7C"/>
    <w:rsid w:val="00241C31"/>
    <w:rsid w:val="0025013C"/>
    <w:rsid w:val="00256614"/>
    <w:rsid w:val="00261247"/>
    <w:rsid w:val="00264652"/>
    <w:rsid w:val="0026674F"/>
    <w:rsid w:val="00266811"/>
    <w:rsid w:val="00272283"/>
    <w:rsid w:val="00273463"/>
    <w:rsid w:val="00273DD6"/>
    <w:rsid w:val="002744E8"/>
    <w:rsid w:val="00282084"/>
    <w:rsid w:val="00291052"/>
    <w:rsid w:val="00292F9B"/>
    <w:rsid w:val="002955F7"/>
    <w:rsid w:val="002B0C00"/>
    <w:rsid w:val="002B3E64"/>
    <w:rsid w:val="002B5E79"/>
    <w:rsid w:val="002B656E"/>
    <w:rsid w:val="002C0859"/>
    <w:rsid w:val="002C1437"/>
    <w:rsid w:val="002C7489"/>
    <w:rsid w:val="002D4118"/>
    <w:rsid w:val="002D5D5D"/>
    <w:rsid w:val="002E5593"/>
    <w:rsid w:val="002E7E29"/>
    <w:rsid w:val="002F1947"/>
    <w:rsid w:val="002F5D03"/>
    <w:rsid w:val="00302FCD"/>
    <w:rsid w:val="00304A28"/>
    <w:rsid w:val="00306D94"/>
    <w:rsid w:val="003125DF"/>
    <w:rsid w:val="00315C04"/>
    <w:rsid w:val="00321709"/>
    <w:rsid w:val="00326101"/>
    <w:rsid w:val="00330A0B"/>
    <w:rsid w:val="00335736"/>
    <w:rsid w:val="00344554"/>
    <w:rsid w:val="00344B4D"/>
    <w:rsid w:val="00354BBC"/>
    <w:rsid w:val="003563D2"/>
    <w:rsid w:val="0037360D"/>
    <w:rsid w:val="00374114"/>
    <w:rsid w:val="00376FA5"/>
    <w:rsid w:val="00384779"/>
    <w:rsid w:val="003A1479"/>
    <w:rsid w:val="003A1813"/>
    <w:rsid w:val="003A2963"/>
    <w:rsid w:val="003A6742"/>
    <w:rsid w:val="003B07D6"/>
    <w:rsid w:val="003B361D"/>
    <w:rsid w:val="003B7D82"/>
    <w:rsid w:val="003C4644"/>
    <w:rsid w:val="003C5BE3"/>
    <w:rsid w:val="003D28AF"/>
    <w:rsid w:val="003F1B96"/>
    <w:rsid w:val="00405EDE"/>
    <w:rsid w:val="00413A7C"/>
    <w:rsid w:val="004141DD"/>
    <w:rsid w:val="00416579"/>
    <w:rsid w:val="00416B9D"/>
    <w:rsid w:val="00427A50"/>
    <w:rsid w:val="00440622"/>
    <w:rsid w:val="00443945"/>
    <w:rsid w:val="00461804"/>
    <w:rsid w:val="00466810"/>
    <w:rsid w:val="004729AC"/>
    <w:rsid w:val="0047706A"/>
    <w:rsid w:val="00480E15"/>
    <w:rsid w:val="004816B5"/>
    <w:rsid w:val="00482767"/>
    <w:rsid w:val="00483DD2"/>
    <w:rsid w:val="0049035A"/>
    <w:rsid w:val="00490459"/>
    <w:rsid w:val="00494E6F"/>
    <w:rsid w:val="00497B8C"/>
    <w:rsid w:val="004A1B4D"/>
    <w:rsid w:val="004A58DD"/>
    <w:rsid w:val="004A6119"/>
    <w:rsid w:val="004A6CB6"/>
    <w:rsid w:val="004B47DC"/>
    <w:rsid w:val="004C411A"/>
    <w:rsid w:val="004C523E"/>
    <w:rsid w:val="004D7540"/>
    <w:rsid w:val="004E0357"/>
    <w:rsid w:val="004E3DF6"/>
    <w:rsid w:val="004E75B3"/>
    <w:rsid w:val="004F04BA"/>
    <w:rsid w:val="004F0EFF"/>
    <w:rsid w:val="004F4241"/>
    <w:rsid w:val="004F706D"/>
    <w:rsid w:val="0050093F"/>
    <w:rsid w:val="005055EC"/>
    <w:rsid w:val="00505D98"/>
    <w:rsid w:val="0051256A"/>
    <w:rsid w:val="00513B20"/>
    <w:rsid w:val="00514788"/>
    <w:rsid w:val="00515D65"/>
    <w:rsid w:val="0051735F"/>
    <w:rsid w:val="005208C1"/>
    <w:rsid w:val="005228B1"/>
    <w:rsid w:val="00525893"/>
    <w:rsid w:val="0054371B"/>
    <w:rsid w:val="00544DC4"/>
    <w:rsid w:val="00545B6E"/>
    <w:rsid w:val="00553FF8"/>
    <w:rsid w:val="00562549"/>
    <w:rsid w:val="00565A7D"/>
    <w:rsid w:val="0056615E"/>
    <w:rsid w:val="005666F2"/>
    <w:rsid w:val="0057515F"/>
    <w:rsid w:val="00575B6C"/>
    <w:rsid w:val="005A0EF2"/>
    <w:rsid w:val="005B2DDF"/>
    <w:rsid w:val="005B4AE7"/>
    <w:rsid w:val="005B53B0"/>
    <w:rsid w:val="005C16D8"/>
    <w:rsid w:val="005C267D"/>
    <w:rsid w:val="005C6BFA"/>
    <w:rsid w:val="005C798D"/>
    <w:rsid w:val="005D4207"/>
    <w:rsid w:val="005D45B3"/>
    <w:rsid w:val="005E21DB"/>
    <w:rsid w:val="005E683C"/>
    <w:rsid w:val="005F6005"/>
    <w:rsid w:val="006062A1"/>
    <w:rsid w:val="006064AB"/>
    <w:rsid w:val="0061246D"/>
    <w:rsid w:val="006150C6"/>
    <w:rsid w:val="00622BB5"/>
    <w:rsid w:val="00623402"/>
    <w:rsid w:val="0062458B"/>
    <w:rsid w:val="006377C4"/>
    <w:rsid w:val="00644ECD"/>
    <w:rsid w:val="006469D4"/>
    <w:rsid w:val="00651001"/>
    <w:rsid w:val="00655345"/>
    <w:rsid w:val="00672536"/>
    <w:rsid w:val="006812EF"/>
    <w:rsid w:val="00681EDC"/>
    <w:rsid w:val="0068204C"/>
    <w:rsid w:val="0068649F"/>
    <w:rsid w:val="00687189"/>
    <w:rsid w:val="00697CCC"/>
    <w:rsid w:val="006B13B7"/>
    <w:rsid w:val="006B26E5"/>
    <w:rsid w:val="006B2942"/>
    <w:rsid w:val="006B3994"/>
    <w:rsid w:val="006B7383"/>
    <w:rsid w:val="006C0E45"/>
    <w:rsid w:val="006C6D3F"/>
    <w:rsid w:val="006D313D"/>
    <w:rsid w:val="006D4829"/>
    <w:rsid w:val="006F1A11"/>
    <w:rsid w:val="006F3B38"/>
    <w:rsid w:val="007025FE"/>
    <w:rsid w:val="00703246"/>
    <w:rsid w:val="007032FA"/>
    <w:rsid w:val="00704051"/>
    <w:rsid w:val="007045AA"/>
    <w:rsid w:val="00705F82"/>
    <w:rsid w:val="007137A4"/>
    <w:rsid w:val="0071453E"/>
    <w:rsid w:val="00725E43"/>
    <w:rsid w:val="00726575"/>
    <w:rsid w:val="00734F50"/>
    <w:rsid w:val="007475F9"/>
    <w:rsid w:val="0074778B"/>
    <w:rsid w:val="00762A4F"/>
    <w:rsid w:val="0077225E"/>
    <w:rsid w:val="00772921"/>
    <w:rsid w:val="00775215"/>
    <w:rsid w:val="007813FE"/>
    <w:rsid w:val="00786303"/>
    <w:rsid w:val="00793F48"/>
    <w:rsid w:val="007B35B2"/>
    <w:rsid w:val="007C0147"/>
    <w:rsid w:val="007C2B1E"/>
    <w:rsid w:val="007C3221"/>
    <w:rsid w:val="007C6BA7"/>
    <w:rsid w:val="007D1FFF"/>
    <w:rsid w:val="007D42A0"/>
    <w:rsid w:val="007E2D0D"/>
    <w:rsid w:val="007E2D59"/>
    <w:rsid w:val="007E3813"/>
    <w:rsid w:val="007E5C77"/>
    <w:rsid w:val="007E6410"/>
    <w:rsid w:val="007E685C"/>
    <w:rsid w:val="007F1D8A"/>
    <w:rsid w:val="007F6108"/>
    <w:rsid w:val="007F7097"/>
    <w:rsid w:val="00803517"/>
    <w:rsid w:val="008049E4"/>
    <w:rsid w:val="00804BA2"/>
    <w:rsid w:val="00806678"/>
    <w:rsid w:val="008067A6"/>
    <w:rsid w:val="008140CC"/>
    <w:rsid w:val="008236E9"/>
    <w:rsid w:val="008251B3"/>
    <w:rsid w:val="00826917"/>
    <w:rsid w:val="00843069"/>
    <w:rsid w:val="00844F1D"/>
    <w:rsid w:val="0084749F"/>
    <w:rsid w:val="00847A4C"/>
    <w:rsid w:val="008524FA"/>
    <w:rsid w:val="008554A0"/>
    <w:rsid w:val="00864005"/>
    <w:rsid w:val="00864202"/>
    <w:rsid w:val="00865FA7"/>
    <w:rsid w:val="00866C8F"/>
    <w:rsid w:val="00883B02"/>
    <w:rsid w:val="0088424C"/>
    <w:rsid w:val="008B2AA8"/>
    <w:rsid w:val="008B4E24"/>
    <w:rsid w:val="008B5443"/>
    <w:rsid w:val="008B7C0A"/>
    <w:rsid w:val="008C6A26"/>
    <w:rsid w:val="008C7EEB"/>
    <w:rsid w:val="008D0DEF"/>
    <w:rsid w:val="008D2256"/>
    <w:rsid w:val="008D47F2"/>
    <w:rsid w:val="008D4C74"/>
    <w:rsid w:val="008D55E8"/>
    <w:rsid w:val="008D5E3D"/>
    <w:rsid w:val="008F23CD"/>
    <w:rsid w:val="008F7B59"/>
    <w:rsid w:val="00902ED9"/>
    <w:rsid w:val="00906145"/>
    <w:rsid w:val="00906A49"/>
    <w:rsid w:val="0090737A"/>
    <w:rsid w:val="009117A3"/>
    <w:rsid w:val="00914ECE"/>
    <w:rsid w:val="00935BA9"/>
    <w:rsid w:val="00936BDD"/>
    <w:rsid w:val="00951DA4"/>
    <w:rsid w:val="0096108C"/>
    <w:rsid w:val="00963BA0"/>
    <w:rsid w:val="00963D16"/>
    <w:rsid w:val="00967764"/>
    <w:rsid w:val="009810EE"/>
    <w:rsid w:val="00984CC9"/>
    <w:rsid w:val="00987820"/>
    <w:rsid w:val="00990838"/>
    <w:rsid w:val="00990E51"/>
    <w:rsid w:val="0099233F"/>
    <w:rsid w:val="00996859"/>
    <w:rsid w:val="00996EB1"/>
    <w:rsid w:val="009B40C5"/>
    <w:rsid w:val="009B463D"/>
    <w:rsid w:val="009B54A0"/>
    <w:rsid w:val="009B6D4F"/>
    <w:rsid w:val="009C25B1"/>
    <w:rsid w:val="009C2F5D"/>
    <w:rsid w:val="009C3162"/>
    <w:rsid w:val="009C3C13"/>
    <w:rsid w:val="009C6405"/>
    <w:rsid w:val="009F3BAE"/>
    <w:rsid w:val="009F4F45"/>
    <w:rsid w:val="009F6B2C"/>
    <w:rsid w:val="00A16027"/>
    <w:rsid w:val="00A30799"/>
    <w:rsid w:val="00A32EB9"/>
    <w:rsid w:val="00A438EC"/>
    <w:rsid w:val="00A43F1B"/>
    <w:rsid w:val="00A43F70"/>
    <w:rsid w:val="00A501E6"/>
    <w:rsid w:val="00A568F8"/>
    <w:rsid w:val="00A57FE8"/>
    <w:rsid w:val="00A6053E"/>
    <w:rsid w:val="00A64ECE"/>
    <w:rsid w:val="00A65A12"/>
    <w:rsid w:val="00A66185"/>
    <w:rsid w:val="00A71CAD"/>
    <w:rsid w:val="00A731A2"/>
    <w:rsid w:val="00A75B84"/>
    <w:rsid w:val="00A75E76"/>
    <w:rsid w:val="00A827B0"/>
    <w:rsid w:val="00A827C1"/>
    <w:rsid w:val="00A84C3C"/>
    <w:rsid w:val="00A875A3"/>
    <w:rsid w:val="00A93F40"/>
    <w:rsid w:val="00A96F93"/>
    <w:rsid w:val="00AA127C"/>
    <w:rsid w:val="00AA37C4"/>
    <w:rsid w:val="00AB1F46"/>
    <w:rsid w:val="00AD005B"/>
    <w:rsid w:val="00AD39DA"/>
    <w:rsid w:val="00AD61FD"/>
    <w:rsid w:val="00AE0770"/>
    <w:rsid w:val="00AE5772"/>
    <w:rsid w:val="00AE7219"/>
    <w:rsid w:val="00AF22AD"/>
    <w:rsid w:val="00AF5107"/>
    <w:rsid w:val="00B06264"/>
    <w:rsid w:val="00B07C8F"/>
    <w:rsid w:val="00B1346A"/>
    <w:rsid w:val="00B15C38"/>
    <w:rsid w:val="00B275D4"/>
    <w:rsid w:val="00B3067A"/>
    <w:rsid w:val="00B44820"/>
    <w:rsid w:val="00B65F08"/>
    <w:rsid w:val="00B70FFC"/>
    <w:rsid w:val="00B75051"/>
    <w:rsid w:val="00B76406"/>
    <w:rsid w:val="00B76F06"/>
    <w:rsid w:val="00B77CC5"/>
    <w:rsid w:val="00B84E97"/>
    <w:rsid w:val="00B859DE"/>
    <w:rsid w:val="00B875C4"/>
    <w:rsid w:val="00B912BF"/>
    <w:rsid w:val="00B978AF"/>
    <w:rsid w:val="00BA1609"/>
    <w:rsid w:val="00BA274D"/>
    <w:rsid w:val="00BB6F5D"/>
    <w:rsid w:val="00BC1DBB"/>
    <w:rsid w:val="00BC55B2"/>
    <w:rsid w:val="00BC6F04"/>
    <w:rsid w:val="00BC792C"/>
    <w:rsid w:val="00BD0E59"/>
    <w:rsid w:val="00BD17E9"/>
    <w:rsid w:val="00BD1D2A"/>
    <w:rsid w:val="00BE3444"/>
    <w:rsid w:val="00BF2072"/>
    <w:rsid w:val="00C02701"/>
    <w:rsid w:val="00C02712"/>
    <w:rsid w:val="00C02784"/>
    <w:rsid w:val="00C02F2F"/>
    <w:rsid w:val="00C0584F"/>
    <w:rsid w:val="00C05AAE"/>
    <w:rsid w:val="00C11C3E"/>
    <w:rsid w:val="00C12D2F"/>
    <w:rsid w:val="00C20468"/>
    <w:rsid w:val="00C277A8"/>
    <w:rsid w:val="00C309AE"/>
    <w:rsid w:val="00C3601D"/>
    <w:rsid w:val="00C365CE"/>
    <w:rsid w:val="00C417EB"/>
    <w:rsid w:val="00C45854"/>
    <w:rsid w:val="00C528AE"/>
    <w:rsid w:val="00C5467A"/>
    <w:rsid w:val="00C54728"/>
    <w:rsid w:val="00C56B72"/>
    <w:rsid w:val="00C62705"/>
    <w:rsid w:val="00C722ED"/>
    <w:rsid w:val="00C73124"/>
    <w:rsid w:val="00C80D67"/>
    <w:rsid w:val="00C83033"/>
    <w:rsid w:val="00C8642A"/>
    <w:rsid w:val="00C87E6B"/>
    <w:rsid w:val="00C9305B"/>
    <w:rsid w:val="00CA11B6"/>
    <w:rsid w:val="00CA4257"/>
    <w:rsid w:val="00CC3775"/>
    <w:rsid w:val="00CE45B0"/>
    <w:rsid w:val="00CF0A79"/>
    <w:rsid w:val="00CF1393"/>
    <w:rsid w:val="00CF4F3A"/>
    <w:rsid w:val="00D0014D"/>
    <w:rsid w:val="00D111D9"/>
    <w:rsid w:val="00D2093E"/>
    <w:rsid w:val="00D222AC"/>
    <w:rsid w:val="00D22819"/>
    <w:rsid w:val="00D24853"/>
    <w:rsid w:val="00D2544A"/>
    <w:rsid w:val="00D2667D"/>
    <w:rsid w:val="00D270D2"/>
    <w:rsid w:val="00D359B3"/>
    <w:rsid w:val="00D511F0"/>
    <w:rsid w:val="00D54EE5"/>
    <w:rsid w:val="00D63670"/>
    <w:rsid w:val="00D63D4E"/>
    <w:rsid w:val="00D63F82"/>
    <w:rsid w:val="00D640FC"/>
    <w:rsid w:val="00D70F7D"/>
    <w:rsid w:val="00D7732B"/>
    <w:rsid w:val="00D81D3C"/>
    <w:rsid w:val="00D821D8"/>
    <w:rsid w:val="00D82C80"/>
    <w:rsid w:val="00D83159"/>
    <w:rsid w:val="00D92929"/>
    <w:rsid w:val="00D93796"/>
    <w:rsid w:val="00D93C2E"/>
    <w:rsid w:val="00D95E90"/>
    <w:rsid w:val="00D970A5"/>
    <w:rsid w:val="00DA60B7"/>
    <w:rsid w:val="00DB4967"/>
    <w:rsid w:val="00DB56F2"/>
    <w:rsid w:val="00DB7D23"/>
    <w:rsid w:val="00DC22CF"/>
    <w:rsid w:val="00DC5314"/>
    <w:rsid w:val="00DD1696"/>
    <w:rsid w:val="00DD29A8"/>
    <w:rsid w:val="00DD408A"/>
    <w:rsid w:val="00DD78B9"/>
    <w:rsid w:val="00DD7E39"/>
    <w:rsid w:val="00DE2D26"/>
    <w:rsid w:val="00DE50CB"/>
    <w:rsid w:val="00E10A59"/>
    <w:rsid w:val="00E130DF"/>
    <w:rsid w:val="00E206AE"/>
    <w:rsid w:val="00E229C1"/>
    <w:rsid w:val="00E23397"/>
    <w:rsid w:val="00E23F86"/>
    <w:rsid w:val="00E263B4"/>
    <w:rsid w:val="00E32CD7"/>
    <w:rsid w:val="00E44738"/>
    <w:rsid w:val="00E44EE1"/>
    <w:rsid w:val="00E50D01"/>
    <w:rsid w:val="00E5241D"/>
    <w:rsid w:val="00E54142"/>
    <w:rsid w:val="00E5680C"/>
    <w:rsid w:val="00E60DAA"/>
    <w:rsid w:val="00E61A16"/>
    <w:rsid w:val="00E638D2"/>
    <w:rsid w:val="00E756C9"/>
    <w:rsid w:val="00E76267"/>
    <w:rsid w:val="00E81492"/>
    <w:rsid w:val="00E82F59"/>
    <w:rsid w:val="00E91DF3"/>
    <w:rsid w:val="00E929BC"/>
    <w:rsid w:val="00E97630"/>
    <w:rsid w:val="00EA535B"/>
    <w:rsid w:val="00EB117D"/>
    <w:rsid w:val="00EB3653"/>
    <w:rsid w:val="00EC579D"/>
    <w:rsid w:val="00ED5BDC"/>
    <w:rsid w:val="00ED7DAC"/>
    <w:rsid w:val="00EE11C1"/>
    <w:rsid w:val="00EE7C00"/>
    <w:rsid w:val="00EF5C19"/>
    <w:rsid w:val="00F00D16"/>
    <w:rsid w:val="00F04D22"/>
    <w:rsid w:val="00F067A6"/>
    <w:rsid w:val="00F07E20"/>
    <w:rsid w:val="00F13708"/>
    <w:rsid w:val="00F2089D"/>
    <w:rsid w:val="00F20B25"/>
    <w:rsid w:val="00F212F3"/>
    <w:rsid w:val="00F24EE3"/>
    <w:rsid w:val="00F41538"/>
    <w:rsid w:val="00F549B4"/>
    <w:rsid w:val="00F560A9"/>
    <w:rsid w:val="00F64EBA"/>
    <w:rsid w:val="00F70C03"/>
    <w:rsid w:val="00F9084A"/>
    <w:rsid w:val="00F94F84"/>
    <w:rsid w:val="00FA137F"/>
    <w:rsid w:val="00FA64A7"/>
    <w:rsid w:val="00FB45C2"/>
    <w:rsid w:val="00FB6E40"/>
    <w:rsid w:val="00FC3356"/>
    <w:rsid w:val="00FC36AD"/>
    <w:rsid w:val="00FC5B76"/>
    <w:rsid w:val="00FC7BD7"/>
    <w:rsid w:val="00FD1CCB"/>
    <w:rsid w:val="00FD1F5E"/>
    <w:rsid w:val="00FD652B"/>
    <w:rsid w:val="00FE3F63"/>
    <w:rsid w:val="00FF30F8"/>
    <w:rsid w:val="00FF55C0"/>
    <w:rsid w:val="00FF6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F2818"/>
  <w15:docId w15:val="{4DC6964A-0B3A-40E2-9DA3-54EFF75A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rsid w:val="001661D9"/>
  </w:style>
  <w:style w:type="paragraph" w:styleId="Heading1">
    <w:name w:val="heading 1"/>
    <w:next w:val="BodyText"/>
    <w:link w:val="Heading1Char"/>
    <w:uiPriority w:val="1"/>
    <w:qFormat/>
    <w:rsid w:val="00CF1393"/>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CF1393"/>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1"/>
    <w:qFormat/>
    <w:rsid w:val="00CF1393"/>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1"/>
    <w:qFormat/>
    <w:rsid w:val="00CF1393"/>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semiHidden/>
    <w:unhideWhenUsed/>
    <w:qFormat/>
    <w:rsid w:val="00CF1393"/>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CF1393"/>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CF1393"/>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110B79"/>
    <w:pPr>
      <w:spacing w:before="200" w:after="200" w:line="264" w:lineRule="auto"/>
    </w:pPr>
    <w:rPr>
      <w:rFonts w:asciiTheme="minorHAnsi" w:hAnsiTheme="minorHAnsi"/>
    </w:rPr>
  </w:style>
  <w:style w:type="character" w:customStyle="1" w:styleId="BodyTextChar">
    <w:name w:val="Body Text Char"/>
    <w:basedOn w:val="DefaultParagraphFont"/>
    <w:link w:val="BodyText"/>
    <w:rsid w:val="00110B79"/>
    <w:rPr>
      <w:rFonts w:asciiTheme="minorHAnsi" w:hAnsiTheme="minorHAnsi"/>
    </w:rPr>
  </w:style>
  <w:style w:type="character" w:customStyle="1" w:styleId="Heading1Char">
    <w:name w:val="Heading 1 Char"/>
    <w:basedOn w:val="DefaultParagraphFont"/>
    <w:link w:val="Heading1"/>
    <w:uiPriority w:val="1"/>
    <w:rsid w:val="00CF1393"/>
    <w:rPr>
      <w:b/>
      <w:color w:val="003865"/>
      <w:sz w:val="40"/>
      <w:szCs w:val="40"/>
    </w:rPr>
  </w:style>
  <w:style w:type="character" w:customStyle="1" w:styleId="Heading2Char">
    <w:name w:val="Heading 2 Char"/>
    <w:basedOn w:val="DefaultParagraphFont"/>
    <w:link w:val="Heading2"/>
    <w:uiPriority w:val="1"/>
    <w:rsid w:val="00CF1393"/>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1"/>
    <w:rsid w:val="00CF1393"/>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CF1393"/>
    <w:rPr>
      <w:rFonts w:eastAsiaTheme="majorEastAsia" w:cstheme="majorBidi"/>
      <w:i/>
      <w:sz w:val="24"/>
      <w:szCs w:val="24"/>
    </w:rPr>
  </w:style>
  <w:style w:type="character" w:customStyle="1" w:styleId="Heading5Char">
    <w:name w:val="Heading 5 Char"/>
    <w:basedOn w:val="DefaultParagraphFont"/>
    <w:link w:val="Heading5"/>
    <w:uiPriority w:val="1"/>
    <w:semiHidden/>
    <w:rsid w:val="00CF1393"/>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CF1393"/>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paragraph" w:styleId="Header">
    <w:name w:val="header"/>
    <w:basedOn w:val="Normal"/>
    <w:link w:val="HeaderChar"/>
    <w:uiPriority w:val="99"/>
    <w:unhideWhenUsed/>
    <w:rsid w:val="009F6B2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F6B2C"/>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Figuretitle">
    <w:name w:val="Table/Figure title"/>
    <w:basedOn w:val="Heading3"/>
    <w:next w:val="Normal"/>
    <w:qFormat/>
    <w:rsid w:val="00CF1393"/>
    <w:pPr>
      <w:spacing w:line="240" w:lineRule="auto"/>
      <w:jc w:val="center"/>
    </w:pPr>
    <w:rPr>
      <w:rFonts w:eastAsia="Times New Roman"/>
      <w:iCs/>
      <w:sz w:val="22"/>
      <w:szCs w:val="28"/>
    </w:r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List">
    <w:name w:val="List"/>
    <w:basedOn w:val="Normal"/>
    <w:qFormat/>
    <w:rsid w:val="00914ECE"/>
    <w:pPr>
      <w:numPr>
        <w:numId w:val="1"/>
      </w:numPr>
      <w:spacing w:line="22" w:lineRule="atLeast"/>
      <w:contextualSpacing/>
    </w:pPr>
  </w:style>
  <w:style w:type="paragraph" w:customStyle="1" w:styleId="TableH1">
    <w:name w:val="Table H1"/>
    <w:basedOn w:val="BodyText"/>
    <w:next w:val="Normal"/>
    <w:link w:val="TableH1Char"/>
    <w:uiPriority w:val="3"/>
    <w:qFormat/>
    <w:rsid w:val="00CF1393"/>
    <w:pPr>
      <w:spacing w:line="240" w:lineRule="auto"/>
      <w:jc w:val="center"/>
    </w:pPr>
    <w:rPr>
      <w:b/>
      <w:lang w:bidi="ar-SA"/>
    </w:rPr>
  </w:style>
  <w:style w:type="character" w:customStyle="1" w:styleId="TableH1Char">
    <w:name w:val="Table H1 Char"/>
    <w:basedOn w:val="DefaultParagraphFont"/>
    <w:link w:val="TableH1"/>
    <w:uiPriority w:val="3"/>
    <w:rsid w:val="00CF1393"/>
    <w:rPr>
      <w:rFonts w:asciiTheme="minorHAnsi" w:hAnsiTheme="minorHAnsi"/>
      <w:b/>
      <w:lang w:bidi="ar-SA"/>
    </w:rPr>
  </w:style>
  <w:style w:type="table" w:customStyle="1" w:styleId="TableGrid11">
    <w:name w:val="Table Grid11"/>
    <w:basedOn w:val="TableNormal"/>
    <w:uiPriority w:val="59"/>
    <w:locked/>
    <w:rsid w:val="00BE3444"/>
    <w:pPr>
      <w:spacing w:line="240" w:lineRule="auto"/>
    </w:pPr>
    <w:rPr>
      <w:lang w:bidi="ar-SA"/>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styleId="Footer">
    <w:name w:val="footer"/>
    <w:basedOn w:val="Normal"/>
    <w:link w:val="FooterChar"/>
    <w:uiPriority w:val="99"/>
    <w:unhideWhenUsed/>
    <w:rsid w:val="00232F7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32F7C"/>
  </w:style>
  <w:style w:type="paragraph" w:styleId="BalloonText">
    <w:name w:val="Balloon Text"/>
    <w:basedOn w:val="Normal"/>
    <w:link w:val="BalloonTextChar"/>
    <w:semiHidden/>
    <w:unhideWhenUsed/>
    <w:rsid w:val="0027346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73463"/>
    <w:rPr>
      <w:rFonts w:ascii="Segoe UI" w:hAnsi="Segoe UI" w:cs="Segoe UI"/>
      <w:sz w:val="18"/>
      <w:szCs w:val="18"/>
    </w:rPr>
  </w:style>
  <w:style w:type="paragraph" w:customStyle="1" w:styleId="bullet2">
    <w:name w:val="bullet 2"/>
    <w:basedOn w:val="List"/>
    <w:link w:val="bullet2Char"/>
    <w:qFormat/>
    <w:rsid w:val="00273463"/>
    <w:pPr>
      <w:numPr>
        <w:numId w:val="2"/>
      </w:numPr>
      <w:spacing w:before="0" w:line="264" w:lineRule="auto"/>
    </w:pPr>
  </w:style>
  <w:style w:type="character" w:customStyle="1" w:styleId="bullet2Char">
    <w:name w:val="bullet 2 Char"/>
    <w:basedOn w:val="DefaultParagraphFont"/>
    <w:link w:val="bullet2"/>
    <w:rsid w:val="00273463"/>
  </w:style>
  <w:style w:type="paragraph" w:customStyle="1" w:styleId="BBodytext11">
    <w:name w:val="B Body text 11"/>
    <w:basedOn w:val="Normal"/>
    <w:qFormat/>
    <w:rsid w:val="00273463"/>
    <w:pPr>
      <w:spacing w:before="0" w:after="120" w:line="240" w:lineRule="auto"/>
    </w:pPr>
    <w:rPr>
      <w:rFonts w:eastAsiaTheme="minorEastAsia" w:cs="Calibri"/>
      <w:color w:val="003865" w:themeColor="accent1"/>
      <w:lang w:bidi="ar-SA"/>
    </w:rPr>
  </w:style>
  <w:style w:type="paragraph" w:styleId="ListParagraph">
    <w:name w:val="List Paragraph"/>
    <w:basedOn w:val="Normal"/>
    <w:uiPriority w:val="34"/>
    <w:qFormat/>
    <w:rsid w:val="00273463"/>
    <w:pPr>
      <w:widowControl w:val="0"/>
      <w:pBdr>
        <w:top w:val="nil"/>
        <w:left w:val="nil"/>
        <w:bottom w:val="nil"/>
        <w:right w:val="nil"/>
        <w:between w:val="nil"/>
      </w:pBdr>
      <w:spacing w:before="0" w:line="240" w:lineRule="auto"/>
      <w:ind w:left="720"/>
      <w:contextualSpacing/>
    </w:pPr>
    <w:rPr>
      <w:rFonts w:eastAsia="Calibri" w:cs="Calibri"/>
      <w:color w:val="000000"/>
      <w:sz w:val="24"/>
      <w:szCs w:val="24"/>
      <w:lang w:bidi="ar-SA"/>
    </w:rPr>
  </w:style>
  <w:style w:type="character" w:styleId="IntenseEmphasis">
    <w:name w:val="Intense Emphasis"/>
    <w:basedOn w:val="DefaultParagraphFont"/>
    <w:uiPriority w:val="21"/>
    <w:qFormat/>
    <w:rsid w:val="00273463"/>
    <w:rPr>
      <w:i/>
      <w:iCs/>
      <w:color w:val="003865" w:themeColor="accent1"/>
    </w:rPr>
  </w:style>
  <w:style w:type="paragraph" w:customStyle="1" w:styleId="BBulletlevel1">
    <w:name w:val="B Bullet level 1"/>
    <w:basedOn w:val="BBodytext11"/>
    <w:next w:val="BBodytext11"/>
    <w:qFormat/>
    <w:rsid w:val="00963D16"/>
    <w:pPr>
      <w:numPr>
        <w:numId w:val="3"/>
      </w:numPr>
      <w:tabs>
        <w:tab w:val="left" w:pos="360"/>
        <w:tab w:val="left" w:pos="1080"/>
      </w:tabs>
      <w:spacing w:after="0"/>
    </w:pPr>
  </w:style>
  <w:style w:type="character" w:styleId="CommentReference">
    <w:name w:val="annotation reference"/>
    <w:basedOn w:val="DefaultParagraphFont"/>
    <w:uiPriority w:val="99"/>
    <w:semiHidden/>
    <w:unhideWhenUsed/>
    <w:rsid w:val="00B978AF"/>
    <w:rPr>
      <w:sz w:val="16"/>
      <w:szCs w:val="16"/>
    </w:rPr>
  </w:style>
  <w:style w:type="paragraph" w:styleId="CommentText">
    <w:name w:val="annotation text"/>
    <w:basedOn w:val="Normal"/>
    <w:link w:val="CommentTextChar"/>
    <w:unhideWhenUsed/>
    <w:rsid w:val="00B978AF"/>
    <w:pPr>
      <w:spacing w:line="240" w:lineRule="auto"/>
    </w:pPr>
    <w:rPr>
      <w:sz w:val="20"/>
      <w:szCs w:val="20"/>
    </w:rPr>
  </w:style>
  <w:style w:type="character" w:customStyle="1" w:styleId="CommentTextChar">
    <w:name w:val="Comment Text Char"/>
    <w:basedOn w:val="DefaultParagraphFont"/>
    <w:link w:val="CommentText"/>
    <w:rsid w:val="00B978AF"/>
    <w:rPr>
      <w:sz w:val="20"/>
      <w:szCs w:val="20"/>
    </w:rPr>
  </w:style>
  <w:style w:type="paragraph" w:styleId="CommentSubject">
    <w:name w:val="annotation subject"/>
    <w:basedOn w:val="CommentText"/>
    <w:next w:val="CommentText"/>
    <w:link w:val="CommentSubjectChar"/>
    <w:semiHidden/>
    <w:unhideWhenUsed/>
    <w:rsid w:val="00B978AF"/>
    <w:rPr>
      <w:b/>
      <w:bCs/>
    </w:rPr>
  </w:style>
  <w:style w:type="character" w:customStyle="1" w:styleId="CommentSubjectChar">
    <w:name w:val="Comment Subject Char"/>
    <w:basedOn w:val="CommentTextChar"/>
    <w:link w:val="CommentSubject"/>
    <w:semiHidden/>
    <w:rsid w:val="00B978AF"/>
    <w:rPr>
      <w:b/>
      <w:bCs/>
      <w:sz w:val="20"/>
      <w:szCs w:val="20"/>
    </w:rPr>
  </w:style>
  <w:style w:type="character" w:styleId="FollowedHyperlink">
    <w:name w:val="FollowedHyperlink"/>
    <w:basedOn w:val="DefaultParagraphFont"/>
    <w:semiHidden/>
    <w:unhideWhenUsed/>
    <w:rsid w:val="00081067"/>
    <w:rPr>
      <w:color w:val="5D295F" w:themeColor="followedHyperlink"/>
      <w:u w:val="single"/>
    </w:rPr>
  </w:style>
  <w:style w:type="paragraph" w:customStyle="1" w:styleId="BBulletlevel2">
    <w:name w:val="B Bullet  level 2"/>
    <w:basedOn w:val="Normal"/>
    <w:uiPriority w:val="99"/>
    <w:qFormat/>
    <w:rsid w:val="00B76F06"/>
    <w:pPr>
      <w:numPr>
        <w:numId w:val="12"/>
      </w:numPr>
      <w:spacing w:before="0" w:line="240" w:lineRule="auto"/>
    </w:pPr>
    <w:rPr>
      <w:rFonts w:eastAsiaTheme="minorEastAsia" w:cs="Calibri"/>
      <w:color w:val="003865" w:themeColor="accent1"/>
      <w:lang w:bidi="ar-SA"/>
    </w:rPr>
  </w:style>
  <w:style w:type="paragraph" w:styleId="FootnoteText">
    <w:name w:val="footnote text"/>
    <w:basedOn w:val="Normal"/>
    <w:link w:val="FootnoteTextChar"/>
    <w:rsid w:val="00180BF3"/>
    <w:pPr>
      <w:spacing w:before="0" w:line="240" w:lineRule="auto"/>
    </w:pPr>
    <w:rPr>
      <w:rFonts w:ascii="Times New Roman" w:hAnsi="Times New Roman"/>
      <w:sz w:val="20"/>
      <w:szCs w:val="20"/>
      <w:lang w:bidi="ar-SA"/>
    </w:rPr>
  </w:style>
  <w:style w:type="character" w:customStyle="1" w:styleId="FootnoteTextChar">
    <w:name w:val="Footnote Text Char"/>
    <w:basedOn w:val="DefaultParagraphFont"/>
    <w:link w:val="FootnoteText"/>
    <w:rsid w:val="00180BF3"/>
    <w:rPr>
      <w:rFonts w:ascii="Times New Roman" w:hAnsi="Times New Roman"/>
      <w:sz w:val="20"/>
      <w:szCs w:val="20"/>
      <w:lang w:bidi="ar-SA"/>
    </w:rPr>
  </w:style>
  <w:style w:type="character" w:styleId="FootnoteReference">
    <w:name w:val="footnote reference"/>
    <w:basedOn w:val="DefaultParagraphFont"/>
    <w:rsid w:val="00180BF3"/>
    <w:rPr>
      <w:vertAlign w:val="superscript"/>
    </w:rPr>
  </w:style>
  <w:style w:type="character" w:styleId="UnresolvedMention">
    <w:name w:val="Unresolved Mention"/>
    <w:basedOn w:val="DefaultParagraphFont"/>
    <w:uiPriority w:val="99"/>
    <w:semiHidden/>
    <w:unhideWhenUsed/>
    <w:rsid w:val="005208C1"/>
    <w:rPr>
      <w:color w:val="605E5C"/>
      <w:shd w:val="clear" w:color="auto" w:fill="E1DFDD"/>
    </w:rPr>
  </w:style>
  <w:style w:type="paragraph" w:styleId="Revision">
    <w:name w:val="Revision"/>
    <w:hidden/>
    <w:uiPriority w:val="99"/>
    <w:semiHidden/>
    <w:rsid w:val="00FC36AD"/>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387461872">
      <w:bodyDiv w:val="1"/>
      <w:marLeft w:val="0"/>
      <w:marRight w:val="0"/>
      <w:marTop w:val="0"/>
      <w:marBottom w:val="0"/>
      <w:divBdr>
        <w:top w:val="none" w:sz="0" w:space="0" w:color="auto"/>
        <w:left w:val="none" w:sz="0" w:space="0" w:color="auto"/>
        <w:bottom w:val="none" w:sz="0" w:space="0" w:color="auto"/>
        <w:right w:val="none" w:sz="0" w:space="0" w:color="auto"/>
      </w:divBdr>
    </w:div>
    <w:div w:id="1142700207">
      <w:bodyDiv w:val="1"/>
      <w:marLeft w:val="0"/>
      <w:marRight w:val="0"/>
      <w:marTop w:val="0"/>
      <w:marBottom w:val="0"/>
      <w:divBdr>
        <w:top w:val="none" w:sz="0" w:space="0" w:color="auto"/>
        <w:left w:val="none" w:sz="0" w:space="0" w:color="auto"/>
        <w:bottom w:val="none" w:sz="0" w:space="0" w:color="auto"/>
        <w:right w:val="none" w:sz="0" w:space="0" w:color="auto"/>
      </w:divBdr>
    </w:div>
    <w:div w:id="135896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wsr.maps.arcgis.com/apps/webappviewer/index.html?id=b5786f3e11d54b1799a6f8f0f3a57c1c" TargetMode="External"/><Relationship Id="rId13" Type="http://schemas.openxmlformats.org/officeDocument/2006/relationships/hyperlink" Target="https://bwsr.state.mn.us/sites/default/files/2019-01/18-023_Protecting%20Conservation%20Plantings%20from%20Pesticides_links-DONE.pdf" TargetMode="External"/><Relationship Id="rId18" Type="http://schemas.openxmlformats.org/officeDocument/2006/relationships/hyperlink" Target="http://www.bwsr.state.mn.us/practices/pollinator/pollinator_brochure_Feb25.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fws.gov/midwest/endangered/insects/rpbb/plants.html"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xerces.org/pollinators-great-lakes-region/" TargetMode="External"/><Relationship Id="rId17" Type="http://schemas.openxmlformats.org/officeDocument/2006/relationships/hyperlink" Target="https://www.dnr.state.mn.us/gardens/nativeplants/suppliers.html" TargetMode="External"/><Relationship Id="rId25" Type="http://schemas.openxmlformats.org/officeDocument/2006/relationships/header" Target="header1.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wildonesprairieedge.org/uploads/1/2/1/7/121729341/listnativenurseriesjan2019web.pdf" TargetMode="External"/><Relationship Id="rId20" Type="http://schemas.openxmlformats.org/officeDocument/2006/relationships/hyperlink" Target="http://www.bwsr.state.mn.us/news/webnews/plant-archive.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wsr.state.mn.us/practices/pollinator/" TargetMode="External"/><Relationship Id="rId24" Type="http://schemas.openxmlformats.org/officeDocument/2006/relationships/hyperlink" Target="mailto:dan.shaw@state.mn.us"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wsr.state.mn.us/native_vegetation/seeding_guidelines.pdf" TargetMode="External"/><Relationship Id="rId23" Type="http://schemas.openxmlformats.org/officeDocument/2006/relationships/hyperlink" Target="http://www.admin.state.mn.us/ogm_policies_and_statute.html"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hyperlink" Target="https://xerces.org/publications/guidelines/organic-site-preparation-for-wildflower-establishment" TargetMode="External"/><Relationship Id="rId19" Type="http://schemas.openxmlformats.org/officeDocument/2006/relationships/hyperlink" Target="http://www.bwsr.state.mn.us/practices/pollinator/Pollinator_Seed_Fact_Sheet.pdf"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apps.bwsr.state.mn.us/elink/Account/Register" TargetMode="External"/><Relationship Id="rId14" Type="http://schemas.openxmlformats.org/officeDocument/2006/relationships/hyperlink" Target="https://bwsr.state.mn.us/sites/default/files/2019-08/Planting%20for%20Pollinators%20Design%20Guide%200816.pdf" TargetMode="External"/><Relationship Id="rId22" Type="http://schemas.openxmlformats.org/officeDocument/2006/relationships/hyperlink" Target="http://www.bwsr.state.mn.us/elink" TargetMode="External"/><Relationship Id="rId27" Type="http://schemas.openxmlformats.org/officeDocument/2006/relationships/footer" Target="footer1.xml"/><Relationship Id="rId30" Type="http://schemas.openxmlformats.org/officeDocument/2006/relationships/header" Target="header4.xml"/><Relationship Id="rId35"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ED7F2-F710-4389-B31F-83EDA8EB6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2288</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Beneral Use Template (Light Header)</vt:lpstr>
    </vt:vector>
  </TitlesOfParts>
  <Manager/>
  <Company/>
  <LinksUpToDate>false</LinksUpToDate>
  <CharactersWithSpaces>15306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Beneral Use Template (Light Header)</dc:title>
  <dc:subject>template</dc:subject>
  <dc:creator>Clapp, Nicole (BWSR)</dc:creator>
  <cp:keywords>template, general</cp:keywords>
  <cp:lastModifiedBy>Shaw, Dan B (BWSR)</cp:lastModifiedBy>
  <cp:revision>3</cp:revision>
  <cp:lastPrinted>2019-12-04T15:05:00Z</cp:lastPrinted>
  <dcterms:created xsi:type="dcterms:W3CDTF">2019-12-06T21:09:00Z</dcterms:created>
  <dcterms:modified xsi:type="dcterms:W3CDTF">2019-12-13T14:08:00Z</dcterms:modified>
  <cp:category>template</cp:category>
  <cp:contentStatus>active</cp:contentStatus>
</cp:coreProperties>
</file>